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Default="00F15760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  <w:t>Введение    9</w:t>
      </w:r>
      <w:r>
        <w:rPr>
          <w:rFonts w:ascii="Verdana" w:hAnsi="Verdana"/>
          <w:color w:val="000000"/>
          <w:sz w:val="18"/>
          <w:szCs w:val="18"/>
        </w:rPr>
        <w:br/>
        <w:t>В</w:t>
      </w:r>
      <w:proofErr w:type="gramStart"/>
      <w:r>
        <w:rPr>
          <w:rFonts w:ascii="Verdana" w:hAnsi="Verdana"/>
          <w:color w:val="000000"/>
          <w:sz w:val="18"/>
          <w:szCs w:val="18"/>
        </w:rPr>
        <w:t>1</w:t>
      </w:r>
      <w:proofErr w:type="gramEnd"/>
      <w:r>
        <w:rPr>
          <w:rFonts w:ascii="Verdana" w:hAnsi="Verdana"/>
          <w:color w:val="000000"/>
          <w:sz w:val="18"/>
          <w:szCs w:val="18"/>
        </w:rPr>
        <w:t>. Техника изделия    9</w:t>
      </w:r>
      <w:r>
        <w:rPr>
          <w:rFonts w:ascii="Verdana" w:hAnsi="Verdana"/>
          <w:color w:val="000000"/>
          <w:sz w:val="18"/>
          <w:szCs w:val="18"/>
        </w:rPr>
        <w:br/>
        <w:t>В</w:t>
      </w:r>
      <w:proofErr w:type="gramStart"/>
      <w:r>
        <w:rPr>
          <w:rFonts w:ascii="Verdana" w:hAnsi="Verdana"/>
          <w:color w:val="000000"/>
          <w:sz w:val="18"/>
          <w:szCs w:val="18"/>
        </w:rPr>
        <w:t>2</w:t>
      </w:r>
      <w:proofErr w:type="gramEnd"/>
      <w:r>
        <w:rPr>
          <w:rFonts w:ascii="Verdana" w:hAnsi="Verdana"/>
          <w:color w:val="000000"/>
          <w:sz w:val="18"/>
          <w:szCs w:val="18"/>
        </w:rPr>
        <w:t>. Исследование как процесс обоснования решений    13</w:t>
      </w:r>
      <w:r>
        <w:rPr>
          <w:rFonts w:ascii="Verdana" w:hAnsi="Verdana"/>
          <w:color w:val="000000"/>
          <w:sz w:val="18"/>
          <w:szCs w:val="18"/>
        </w:rPr>
        <w:br/>
        <w:t>В3. Экспериментирование и моделирование как основной способ получения информации для обоснования решений    16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24</w:t>
      </w:r>
      <w:r>
        <w:rPr>
          <w:rFonts w:ascii="Verdana" w:hAnsi="Verdana"/>
          <w:color w:val="000000"/>
          <w:sz w:val="18"/>
          <w:szCs w:val="18"/>
        </w:rPr>
        <w:br/>
        <w:t>Глава 1. ПРОБЛЕМА НАДЕЖНОСТИ    25</w:t>
      </w:r>
      <w:r>
        <w:rPr>
          <w:rFonts w:ascii="Verdana" w:hAnsi="Verdana"/>
          <w:color w:val="000000"/>
          <w:sz w:val="18"/>
          <w:szCs w:val="18"/>
        </w:rPr>
        <w:br/>
        <w:t>1.1. Основные положения    25</w:t>
      </w:r>
      <w:r>
        <w:rPr>
          <w:rFonts w:ascii="Verdana" w:hAnsi="Verdana"/>
          <w:color w:val="000000"/>
          <w:sz w:val="18"/>
          <w:szCs w:val="18"/>
        </w:rPr>
        <w:br/>
        <w:t>1.1.1. Признаки классификаций изделий    27</w:t>
      </w:r>
      <w:r>
        <w:rPr>
          <w:rFonts w:ascii="Verdana" w:hAnsi="Verdana"/>
          <w:color w:val="000000"/>
          <w:sz w:val="18"/>
          <w:szCs w:val="18"/>
        </w:rPr>
        <w:br/>
        <w:t>1.1.2. Основные рассматриваемые классы изделий    29</w:t>
      </w:r>
      <w:r>
        <w:rPr>
          <w:rFonts w:ascii="Verdana" w:hAnsi="Verdana"/>
          <w:color w:val="000000"/>
          <w:sz w:val="18"/>
          <w:szCs w:val="18"/>
        </w:rPr>
        <w:br/>
        <w:t>1.1.3. Признаки классификации систем    30</w:t>
      </w:r>
      <w:r>
        <w:rPr>
          <w:rFonts w:ascii="Verdana" w:hAnsi="Verdana"/>
          <w:color w:val="000000"/>
          <w:sz w:val="18"/>
          <w:szCs w:val="18"/>
        </w:rPr>
        <w:br/>
        <w:t>1.2. Типовые задачи исследования надежности    33</w:t>
      </w:r>
      <w:r>
        <w:rPr>
          <w:rFonts w:ascii="Verdana" w:hAnsi="Verdana"/>
          <w:color w:val="000000"/>
          <w:sz w:val="18"/>
          <w:szCs w:val="18"/>
        </w:rPr>
        <w:br/>
        <w:t>1.2.1. Особенности эффективности и надежности сложных технических систем    34</w:t>
      </w:r>
      <w:r>
        <w:rPr>
          <w:rFonts w:ascii="Verdana" w:hAnsi="Verdana"/>
          <w:color w:val="000000"/>
          <w:sz w:val="18"/>
          <w:szCs w:val="18"/>
        </w:rPr>
        <w:br/>
        <w:t>1.2.2. Типовые мероприятия по обеспечению надежности    38</w:t>
      </w:r>
      <w:r>
        <w:rPr>
          <w:rFonts w:ascii="Verdana" w:hAnsi="Verdana"/>
          <w:color w:val="000000"/>
          <w:sz w:val="18"/>
          <w:szCs w:val="18"/>
        </w:rPr>
        <w:br/>
        <w:t>1.3. Комплексный подход к управлению надежностью машин    40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44</w:t>
      </w:r>
      <w:r>
        <w:rPr>
          <w:rFonts w:ascii="Verdana" w:hAnsi="Verdana"/>
          <w:color w:val="000000"/>
          <w:sz w:val="18"/>
          <w:szCs w:val="18"/>
        </w:rPr>
        <w:br/>
        <w:t>Глава 2. ОСНОВНЫЕ ПОНЯТИЯ И ОПРЕДЕЛЕНИЯ НАДЕЖНОСТИ    45</w:t>
      </w:r>
      <w:r>
        <w:rPr>
          <w:rFonts w:ascii="Verdana" w:hAnsi="Verdana"/>
          <w:color w:val="000000"/>
          <w:sz w:val="18"/>
          <w:szCs w:val="18"/>
        </w:rPr>
        <w:br/>
        <w:t>2.1. Надежность и ее составляющие     47</w:t>
      </w:r>
      <w:r>
        <w:rPr>
          <w:rFonts w:ascii="Verdana" w:hAnsi="Verdana"/>
          <w:color w:val="000000"/>
          <w:sz w:val="18"/>
          <w:szCs w:val="18"/>
        </w:rPr>
        <w:br/>
        <w:t>2.2. Состояния технического объекта    50</w:t>
      </w:r>
      <w:r>
        <w:rPr>
          <w:rFonts w:ascii="Verdana" w:hAnsi="Verdana"/>
          <w:color w:val="000000"/>
          <w:sz w:val="18"/>
          <w:szCs w:val="18"/>
        </w:rPr>
        <w:br/>
        <w:t>2.3. Дефекты, повреждения, отказы    52</w:t>
      </w:r>
      <w:r>
        <w:rPr>
          <w:rFonts w:ascii="Verdana" w:hAnsi="Verdana"/>
          <w:color w:val="000000"/>
          <w:sz w:val="18"/>
          <w:szCs w:val="18"/>
        </w:rPr>
        <w:br/>
        <w:t>2.4. Временные понятия    62</w:t>
      </w:r>
      <w:r>
        <w:rPr>
          <w:rFonts w:ascii="Verdana" w:hAnsi="Verdana"/>
          <w:color w:val="000000"/>
          <w:sz w:val="18"/>
          <w:szCs w:val="18"/>
        </w:rPr>
        <w:br/>
        <w:t>2.5. Техническое обслуживание и ремонт    65</w:t>
      </w:r>
      <w:r>
        <w:rPr>
          <w:rFonts w:ascii="Verdana" w:hAnsi="Verdana"/>
          <w:color w:val="000000"/>
          <w:sz w:val="18"/>
          <w:szCs w:val="18"/>
        </w:rPr>
        <w:br/>
        <w:t>2.6. Резервирование    66</w:t>
      </w:r>
      <w:r>
        <w:rPr>
          <w:rFonts w:ascii="Verdana" w:hAnsi="Verdana"/>
          <w:color w:val="000000"/>
          <w:sz w:val="18"/>
          <w:szCs w:val="18"/>
        </w:rPr>
        <w:br/>
        <w:t>2.7. Нормирование надежности и обеспечение, определение и контроль надежности    68</w:t>
      </w:r>
      <w:r>
        <w:rPr>
          <w:rFonts w:ascii="Verdana" w:hAnsi="Verdana"/>
          <w:color w:val="000000"/>
          <w:sz w:val="18"/>
          <w:szCs w:val="18"/>
        </w:rPr>
        <w:br/>
        <w:t>2.8. Испытания на надежность    68</w:t>
      </w:r>
      <w:r>
        <w:rPr>
          <w:rFonts w:ascii="Verdana" w:hAnsi="Verdana"/>
          <w:color w:val="000000"/>
          <w:sz w:val="18"/>
          <w:szCs w:val="18"/>
        </w:rPr>
        <w:br/>
        <w:t>2.9. Показатели надежности    69</w:t>
      </w:r>
      <w:r>
        <w:rPr>
          <w:rFonts w:ascii="Verdana" w:hAnsi="Verdana"/>
          <w:color w:val="000000"/>
          <w:sz w:val="18"/>
          <w:szCs w:val="18"/>
        </w:rPr>
        <w:br/>
        <w:t>2.9.1. Безотказность    72</w:t>
      </w:r>
      <w:r>
        <w:rPr>
          <w:rFonts w:ascii="Verdana" w:hAnsi="Verdana"/>
          <w:color w:val="000000"/>
          <w:sz w:val="18"/>
          <w:szCs w:val="18"/>
        </w:rPr>
        <w:br/>
        <w:t>2.9.2. Долговечность    77</w:t>
      </w:r>
      <w:r>
        <w:rPr>
          <w:rFonts w:ascii="Verdana" w:hAnsi="Verdana"/>
          <w:color w:val="000000"/>
          <w:sz w:val="18"/>
          <w:szCs w:val="18"/>
        </w:rPr>
        <w:br/>
        <w:t xml:space="preserve">2.9.3. </w:t>
      </w:r>
      <w:proofErr w:type="spellStart"/>
      <w:r>
        <w:rPr>
          <w:rFonts w:ascii="Verdana" w:hAnsi="Verdana"/>
          <w:color w:val="000000"/>
          <w:sz w:val="18"/>
          <w:szCs w:val="18"/>
        </w:rPr>
        <w:t>Сохраняемость</w:t>
      </w:r>
      <w:proofErr w:type="spellEnd"/>
      <w:r>
        <w:rPr>
          <w:rFonts w:ascii="Verdana" w:hAnsi="Verdana"/>
          <w:color w:val="000000"/>
          <w:sz w:val="18"/>
          <w:szCs w:val="18"/>
        </w:rPr>
        <w:t>    78</w:t>
      </w:r>
      <w:r>
        <w:rPr>
          <w:rFonts w:ascii="Verdana" w:hAnsi="Verdana"/>
          <w:color w:val="000000"/>
          <w:sz w:val="18"/>
          <w:szCs w:val="18"/>
        </w:rPr>
        <w:br/>
        <w:t>2.9.4. Ремонтопригодность    79</w:t>
      </w:r>
      <w:r>
        <w:rPr>
          <w:rFonts w:ascii="Verdana" w:hAnsi="Verdana"/>
          <w:color w:val="000000"/>
          <w:sz w:val="18"/>
          <w:szCs w:val="18"/>
        </w:rPr>
        <w:br/>
        <w:t>2.9.5. Комплексные показатели надежности    80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 и задачи    83</w:t>
      </w:r>
      <w:r>
        <w:rPr>
          <w:rFonts w:ascii="Verdana" w:hAnsi="Verdana"/>
          <w:color w:val="000000"/>
          <w:sz w:val="18"/>
          <w:szCs w:val="18"/>
        </w:rPr>
        <w:br/>
        <w:t>Глава 3. МАТЕМАТИЧЕСКИЕ ОСНОВЫ НАДЕЖНОСТИ    87</w:t>
      </w:r>
      <w:r>
        <w:rPr>
          <w:rFonts w:ascii="Verdana" w:hAnsi="Verdana"/>
          <w:color w:val="000000"/>
          <w:sz w:val="18"/>
          <w:szCs w:val="18"/>
        </w:rPr>
        <w:br/>
        <w:t>3.1. Случайные события и их характеристики (термины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и определения)    87</w:t>
      </w:r>
      <w:r>
        <w:rPr>
          <w:rFonts w:ascii="Verdana" w:hAnsi="Verdana"/>
          <w:color w:val="000000"/>
          <w:sz w:val="18"/>
          <w:szCs w:val="18"/>
        </w:rPr>
        <w:br/>
        <w:t>3.2. Вероятность события    89</w:t>
      </w:r>
      <w:r>
        <w:rPr>
          <w:rFonts w:ascii="Verdana" w:hAnsi="Verdana"/>
          <w:color w:val="000000"/>
          <w:sz w:val="18"/>
          <w:szCs w:val="18"/>
        </w:rPr>
        <w:br/>
        <w:t>3.3. Случайные величины и функции распределения     94</w:t>
      </w:r>
      <w:r>
        <w:rPr>
          <w:rFonts w:ascii="Verdana" w:hAnsi="Verdana"/>
          <w:color w:val="000000"/>
          <w:sz w:val="18"/>
          <w:szCs w:val="18"/>
        </w:rPr>
        <w:br/>
        <w:t>3.3.1. Законы распределения дискретных случайных величин    95</w:t>
      </w:r>
      <w:r>
        <w:rPr>
          <w:rFonts w:ascii="Verdana" w:hAnsi="Verdana"/>
          <w:color w:val="000000"/>
          <w:sz w:val="18"/>
          <w:szCs w:val="18"/>
        </w:rPr>
        <w:br/>
        <w:t>3.3.2. Законы распределения непрерывных случайных величин    97</w:t>
      </w:r>
      <w:r>
        <w:rPr>
          <w:rFonts w:ascii="Verdana" w:hAnsi="Verdana"/>
          <w:color w:val="000000"/>
          <w:sz w:val="18"/>
          <w:szCs w:val="18"/>
        </w:rPr>
        <w:br/>
        <w:t>3.4. Предельные теоремы теории вероятностей     107</w:t>
      </w:r>
      <w:r>
        <w:rPr>
          <w:rFonts w:ascii="Verdana" w:hAnsi="Verdana"/>
          <w:color w:val="000000"/>
          <w:sz w:val="18"/>
          <w:szCs w:val="18"/>
        </w:rPr>
        <w:br/>
        <w:t>3.5. Статистический аппарат оценки надежности    109</w:t>
      </w:r>
      <w:r>
        <w:rPr>
          <w:rFonts w:ascii="Verdana" w:hAnsi="Verdana"/>
          <w:color w:val="000000"/>
          <w:sz w:val="18"/>
          <w:szCs w:val="18"/>
        </w:rPr>
        <w:br/>
        <w:t>3.5.1. Основные понятия    109</w:t>
      </w:r>
      <w:r>
        <w:rPr>
          <w:rFonts w:ascii="Verdana" w:hAnsi="Verdana"/>
          <w:color w:val="000000"/>
          <w:sz w:val="18"/>
          <w:szCs w:val="18"/>
        </w:rPr>
        <w:br/>
        <w:t>3.5.2. Первичная обработка экспериментального материала    112</w:t>
      </w:r>
      <w:r>
        <w:rPr>
          <w:rFonts w:ascii="Verdana" w:hAnsi="Verdana"/>
          <w:color w:val="000000"/>
          <w:sz w:val="18"/>
          <w:szCs w:val="18"/>
        </w:rPr>
        <w:br/>
        <w:t>3.5.3. Предварительный выбор вида вероятностного распределения    118</w:t>
      </w:r>
      <w:r>
        <w:rPr>
          <w:rFonts w:ascii="Verdana" w:hAnsi="Verdana"/>
          <w:color w:val="000000"/>
          <w:sz w:val="18"/>
          <w:szCs w:val="18"/>
        </w:rPr>
        <w:br/>
        <w:t>3.5.4. Анализ однородности исходного статистического материала    119</w:t>
      </w:r>
      <w:r>
        <w:rPr>
          <w:rFonts w:ascii="Verdana" w:hAnsi="Verdana"/>
          <w:color w:val="000000"/>
          <w:sz w:val="18"/>
          <w:szCs w:val="18"/>
        </w:rPr>
        <w:br/>
        <w:t>3.5.5. Оценка параметров распределения    121</w:t>
      </w:r>
      <w:r>
        <w:rPr>
          <w:rFonts w:ascii="Verdana" w:hAnsi="Verdana"/>
          <w:color w:val="000000"/>
          <w:sz w:val="18"/>
          <w:szCs w:val="18"/>
        </w:rPr>
        <w:br/>
        <w:t>3.5.6. Проверка согласия экспериментального и теоретического распределений    122</w:t>
      </w:r>
      <w:r>
        <w:rPr>
          <w:rFonts w:ascii="Verdana" w:hAnsi="Verdana"/>
          <w:color w:val="000000"/>
          <w:sz w:val="18"/>
          <w:szCs w:val="18"/>
        </w:rPr>
        <w:br/>
        <w:t>3.6. Потоки событий, их свойства и классификация    126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140</w:t>
      </w:r>
      <w:r>
        <w:rPr>
          <w:rFonts w:ascii="Verdana" w:hAnsi="Verdana"/>
          <w:color w:val="000000"/>
          <w:sz w:val="18"/>
          <w:szCs w:val="18"/>
        </w:rPr>
        <w:br/>
        <w:t>Глава 4. МОДЕЛИ НАДЕЖНОСТИ    143</w:t>
      </w:r>
      <w:r>
        <w:rPr>
          <w:rFonts w:ascii="Verdana" w:hAnsi="Verdana"/>
          <w:color w:val="000000"/>
          <w:sz w:val="18"/>
          <w:szCs w:val="18"/>
        </w:rPr>
        <w:br/>
        <w:t>4.1. Математические модели теории надежности    143</w:t>
      </w:r>
      <w:r>
        <w:rPr>
          <w:rFonts w:ascii="Verdana" w:hAnsi="Verdana"/>
          <w:color w:val="000000"/>
          <w:sz w:val="18"/>
          <w:szCs w:val="18"/>
        </w:rPr>
        <w:br/>
        <w:t>4.1.1. Экспоненциальная модель    145</w:t>
      </w:r>
      <w:r>
        <w:rPr>
          <w:rFonts w:ascii="Verdana" w:hAnsi="Verdana"/>
          <w:color w:val="000000"/>
          <w:sz w:val="18"/>
          <w:szCs w:val="18"/>
        </w:rPr>
        <w:br/>
        <w:t xml:space="preserve">4.1.2. Распределение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Вейбулла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147</w:t>
      </w:r>
      <w:r>
        <w:rPr>
          <w:rFonts w:ascii="Verdana" w:hAnsi="Verdana"/>
          <w:color w:val="000000"/>
          <w:sz w:val="18"/>
          <w:szCs w:val="18"/>
        </w:rPr>
        <w:br/>
        <w:t>4.1.3. Гамма-распределение    148</w:t>
      </w:r>
      <w:r>
        <w:rPr>
          <w:rFonts w:ascii="Verdana" w:hAnsi="Verdana"/>
          <w:color w:val="000000"/>
          <w:sz w:val="18"/>
          <w:szCs w:val="18"/>
        </w:rPr>
        <w:br/>
        <w:t>4.1.4. Нормальное распределение    149</w:t>
      </w:r>
      <w:r>
        <w:rPr>
          <w:rFonts w:ascii="Verdana" w:hAnsi="Verdana"/>
          <w:color w:val="000000"/>
          <w:sz w:val="18"/>
          <w:szCs w:val="18"/>
        </w:rPr>
        <w:br/>
        <w:t>4.1.5. Пуассоновский поток    149</w:t>
      </w:r>
      <w:r>
        <w:rPr>
          <w:rFonts w:ascii="Verdana" w:hAnsi="Verdana"/>
          <w:color w:val="000000"/>
          <w:sz w:val="18"/>
          <w:szCs w:val="18"/>
        </w:rPr>
        <w:br/>
        <w:t>4.1.6. Структурная модель надежности систем. Блок схема    150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4.1.7. Деревья отказов    154</w:t>
      </w:r>
      <w:r>
        <w:rPr>
          <w:rFonts w:ascii="Verdana" w:hAnsi="Verdana"/>
          <w:color w:val="000000"/>
          <w:sz w:val="18"/>
          <w:szCs w:val="18"/>
        </w:rPr>
        <w:br/>
        <w:t>4.1.8. Деревья событий    161</w:t>
      </w:r>
      <w:r>
        <w:rPr>
          <w:rFonts w:ascii="Verdana" w:hAnsi="Verdana"/>
          <w:color w:val="000000"/>
          <w:sz w:val="18"/>
          <w:szCs w:val="18"/>
        </w:rPr>
        <w:br/>
        <w:t>4.2. Вероятностные модели в расчетах систем конструкций    162</w:t>
      </w:r>
      <w:r>
        <w:rPr>
          <w:rFonts w:ascii="Verdana" w:hAnsi="Verdana"/>
          <w:color w:val="000000"/>
          <w:sz w:val="18"/>
          <w:szCs w:val="18"/>
        </w:rPr>
        <w:br/>
        <w:t>4.2.1. Модели нагрузка–сопротивление    167</w:t>
      </w:r>
      <w:r>
        <w:rPr>
          <w:rFonts w:ascii="Verdana" w:hAnsi="Verdana"/>
          <w:color w:val="000000"/>
          <w:sz w:val="18"/>
          <w:szCs w:val="18"/>
        </w:rPr>
        <w:br/>
        <w:t>4.2.2. Квазистатические модели    181</w:t>
      </w:r>
      <w:r>
        <w:rPr>
          <w:rFonts w:ascii="Verdana" w:hAnsi="Verdana"/>
          <w:color w:val="000000"/>
          <w:sz w:val="18"/>
          <w:szCs w:val="18"/>
        </w:rPr>
        <w:br/>
        <w:t>4.2.3. Модели кумулятивного типа    187</w:t>
      </w:r>
      <w:r>
        <w:rPr>
          <w:rFonts w:ascii="Verdana" w:hAnsi="Verdana"/>
          <w:color w:val="000000"/>
          <w:sz w:val="18"/>
          <w:szCs w:val="18"/>
        </w:rPr>
        <w:br/>
        <w:t xml:space="preserve">4.2.4. Модели </w:t>
      </w:r>
      <w:proofErr w:type="spellStart"/>
      <w:r>
        <w:rPr>
          <w:rFonts w:ascii="Verdana" w:hAnsi="Verdana"/>
          <w:color w:val="000000"/>
          <w:sz w:val="18"/>
          <w:szCs w:val="18"/>
        </w:rPr>
        <w:t>марковского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типа    193</w:t>
      </w:r>
      <w:r>
        <w:rPr>
          <w:rFonts w:ascii="Verdana" w:hAnsi="Verdana"/>
          <w:color w:val="000000"/>
          <w:sz w:val="18"/>
          <w:szCs w:val="18"/>
        </w:rPr>
        <w:br/>
        <w:t>4.2.5. Модели пуассоновского типа    217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246</w:t>
      </w:r>
      <w:r>
        <w:rPr>
          <w:rFonts w:ascii="Verdana" w:hAnsi="Verdana"/>
          <w:color w:val="000000"/>
          <w:sz w:val="18"/>
          <w:szCs w:val="18"/>
        </w:rPr>
        <w:br/>
        <w:t>Глава 5. НАДЕЖНОСТЬ ТЕХНИЧЕСКИХ СИСТЕМ    247</w:t>
      </w:r>
      <w:r>
        <w:rPr>
          <w:rFonts w:ascii="Verdana" w:hAnsi="Verdana"/>
          <w:color w:val="000000"/>
          <w:sz w:val="18"/>
          <w:szCs w:val="18"/>
        </w:rPr>
        <w:br/>
        <w:t>5.1. Методы расчета структурной надежности систем    247</w:t>
      </w:r>
      <w:r>
        <w:rPr>
          <w:rFonts w:ascii="Verdana" w:hAnsi="Verdana"/>
          <w:color w:val="000000"/>
          <w:sz w:val="18"/>
          <w:szCs w:val="18"/>
        </w:rPr>
        <w:br/>
        <w:t>5.1.1. Система с последовательным соединением элементов    248</w:t>
      </w:r>
      <w:r>
        <w:rPr>
          <w:rFonts w:ascii="Verdana" w:hAnsi="Verdana"/>
          <w:color w:val="000000"/>
          <w:sz w:val="18"/>
          <w:szCs w:val="18"/>
        </w:rPr>
        <w:br/>
        <w:t>5.1.2. Системы с параллельным соединением элементов    250</w:t>
      </w:r>
      <w:r>
        <w:rPr>
          <w:rFonts w:ascii="Verdana" w:hAnsi="Verdana"/>
          <w:color w:val="000000"/>
          <w:sz w:val="18"/>
          <w:szCs w:val="18"/>
        </w:rPr>
        <w:br/>
        <w:t>5.1.3. Мажоритарные системы    252</w:t>
      </w:r>
      <w:r>
        <w:rPr>
          <w:rFonts w:ascii="Verdana" w:hAnsi="Verdana"/>
          <w:color w:val="000000"/>
          <w:sz w:val="18"/>
          <w:szCs w:val="18"/>
        </w:rPr>
        <w:br/>
        <w:t>5.1.4. Мостиковые системы    256</w:t>
      </w:r>
      <w:r>
        <w:rPr>
          <w:rFonts w:ascii="Verdana" w:hAnsi="Verdana"/>
          <w:color w:val="000000"/>
          <w:sz w:val="18"/>
          <w:szCs w:val="18"/>
        </w:rPr>
        <w:br/>
        <w:t>5.1.5. Комбинированные системы    264</w:t>
      </w:r>
      <w:r>
        <w:rPr>
          <w:rFonts w:ascii="Verdana" w:hAnsi="Verdana"/>
          <w:color w:val="000000"/>
          <w:sz w:val="18"/>
          <w:szCs w:val="18"/>
        </w:rPr>
        <w:br/>
        <w:t>5.1.6. Многофункциональные системы    266</w:t>
      </w:r>
      <w:r>
        <w:rPr>
          <w:rFonts w:ascii="Verdana" w:hAnsi="Verdana"/>
          <w:color w:val="000000"/>
          <w:sz w:val="18"/>
          <w:szCs w:val="18"/>
        </w:rPr>
        <w:br/>
        <w:t>5.2. Методы повышения структурной надежности систем    269</w:t>
      </w:r>
      <w:r>
        <w:rPr>
          <w:rFonts w:ascii="Verdana" w:hAnsi="Verdana"/>
          <w:color w:val="000000"/>
          <w:sz w:val="18"/>
          <w:szCs w:val="18"/>
        </w:rPr>
        <w:br/>
        <w:t>5.3. Надежность систем с резервированием    274</w:t>
      </w:r>
      <w:r>
        <w:rPr>
          <w:rFonts w:ascii="Verdana" w:hAnsi="Verdana"/>
          <w:color w:val="000000"/>
          <w:sz w:val="18"/>
          <w:szCs w:val="18"/>
        </w:rPr>
        <w:br/>
        <w:t>5.3.1. Нагруженное резервирование    274</w:t>
      </w:r>
      <w:r>
        <w:rPr>
          <w:rFonts w:ascii="Verdana" w:hAnsi="Verdana"/>
          <w:color w:val="000000"/>
          <w:sz w:val="18"/>
          <w:szCs w:val="18"/>
        </w:rPr>
        <w:br/>
        <w:t>5.3.2. Ненагруженное резервирование    277</w:t>
      </w:r>
      <w:r>
        <w:rPr>
          <w:rFonts w:ascii="Verdana" w:hAnsi="Verdana"/>
          <w:color w:val="000000"/>
          <w:sz w:val="18"/>
          <w:szCs w:val="18"/>
        </w:rPr>
        <w:br/>
        <w:t>5.3.3. Облегченное резервирование    278</w:t>
      </w:r>
      <w:r>
        <w:rPr>
          <w:rFonts w:ascii="Verdana" w:hAnsi="Verdana"/>
          <w:color w:val="000000"/>
          <w:sz w:val="18"/>
          <w:szCs w:val="18"/>
        </w:rPr>
        <w:br/>
        <w:t>5.3.4. Скользящее резервирование    279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280</w:t>
      </w:r>
      <w:r>
        <w:rPr>
          <w:rFonts w:ascii="Verdana" w:hAnsi="Verdana"/>
          <w:color w:val="000000"/>
          <w:sz w:val="18"/>
          <w:szCs w:val="18"/>
        </w:rPr>
        <w:br/>
        <w:t>Глава 6. НАДЕЖНОСТЬ ТЕХНИЧЕСКИХ СИСТЕМ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НА СТАДИИ ПРОЕКТИРОВАНИЯ    281</w:t>
      </w:r>
      <w:r>
        <w:rPr>
          <w:rFonts w:ascii="Verdana" w:hAnsi="Verdana"/>
          <w:color w:val="000000"/>
          <w:sz w:val="18"/>
          <w:szCs w:val="18"/>
        </w:rPr>
        <w:br/>
        <w:t>6.1. Задание требований и выбор номенклатуры показателей надежности     281</w:t>
      </w:r>
      <w:r>
        <w:rPr>
          <w:rFonts w:ascii="Verdana" w:hAnsi="Verdana"/>
          <w:color w:val="000000"/>
          <w:sz w:val="18"/>
          <w:szCs w:val="18"/>
        </w:rPr>
        <w:br/>
        <w:t>6.2. Методы распределения норм надежности    283</w:t>
      </w:r>
      <w:r>
        <w:rPr>
          <w:rFonts w:ascii="Verdana" w:hAnsi="Verdana"/>
          <w:color w:val="000000"/>
          <w:sz w:val="18"/>
          <w:szCs w:val="18"/>
        </w:rPr>
        <w:br/>
        <w:t>6.3. Показатели надежности элемента    292</w:t>
      </w:r>
      <w:r>
        <w:rPr>
          <w:rFonts w:ascii="Verdana" w:hAnsi="Verdana"/>
          <w:color w:val="000000"/>
          <w:sz w:val="18"/>
          <w:szCs w:val="18"/>
        </w:rPr>
        <w:br/>
        <w:t>6.4. Расчет проектной надежности систем     304</w:t>
      </w:r>
      <w:r>
        <w:rPr>
          <w:rFonts w:ascii="Verdana" w:hAnsi="Verdana"/>
          <w:color w:val="000000"/>
          <w:sz w:val="18"/>
          <w:szCs w:val="18"/>
        </w:rPr>
        <w:br/>
        <w:t>6.5. Вероятности безотказной работы механических узлов    320</w:t>
      </w:r>
      <w:r>
        <w:rPr>
          <w:rFonts w:ascii="Verdana" w:hAnsi="Verdana"/>
          <w:color w:val="000000"/>
          <w:sz w:val="18"/>
          <w:szCs w:val="18"/>
        </w:rPr>
        <w:br/>
        <w:t>6.6. Надежность изделий на этапе разработки при выборе запасных частей    325</w:t>
      </w:r>
      <w:r>
        <w:rPr>
          <w:rFonts w:ascii="Verdana" w:hAnsi="Verdana"/>
          <w:color w:val="000000"/>
          <w:sz w:val="18"/>
          <w:szCs w:val="18"/>
        </w:rPr>
        <w:br/>
        <w:t>6.7. Расчет количественного состава запасных частей    327</w:t>
      </w:r>
      <w:r>
        <w:rPr>
          <w:rFonts w:ascii="Verdana" w:hAnsi="Verdana"/>
          <w:color w:val="000000"/>
          <w:sz w:val="18"/>
          <w:szCs w:val="18"/>
        </w:rPr>
        <w:br/>
        <w:t>6.8. Принципы конструирования, обеспечивающие создание надежных систем    331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333</w:t>
      </w:r>
      <w:r>
        <w:rPr>
          <w:rFonts w:ascii="Verdana" w:hAnsi="Verdana"/>
          <w:color w:val="000000"/>
          <w:sz w:val="18"/>
          <w:szCs w:val="18"/>
        </w:rPr>
        <w:br/>
        <w:t>Глава 7. ИССЛЕДОВАНИЕ НАДЕЖНОСТИ ИЗДЕЛИЙ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НА ЭТАПЕ ЭКСПЕРИМЕНТАЛЬНОЙ ОТРАБОТКИ    335</w:t>
      </w:r>
      <w:r>
        <w:rPr>
          <w:rFonts w:ascii="Verdana" w:hAnsi="Verdana"/>
          <w:color w:val="000000"/>
          <w:sz w:val="18"/>
          <w:szCs w:val="18"/>
        </w:rPr>
        <w:br/>
        <w:t>7.1. Цели и виды испытаний    335</w:t>
      </w:r>
      <w:r>
        <w:rPr>
          <w:rFonts w:ascii="Verdana" w:hAnsi="Verdana"/>
          <w:color w:val="000000"/>
          <w:sz w:val="18"/>
          <w:szCs w:val="18"/>
        </w:rPr>
        <w:br/>
        <w:t>7.2. Организация и последовательность создания сложных систем    337</w:t>
      </w:r>
      <w:r>
        <w:rPr>
          <w:rFonts w:ascii="Verdana" w:hAnsi="Verdana"/>
          <w:color w:val="000000"/>
          <w:sz w:val="18"/>
          <w:szCs w:val="18"/>
        </w:rPr>
        <w:br/>
        <w:t>7.3. Программа экспериментальной отработки    340</w:t>
      </w:r>
      <w:r>
        <w:rPr>
          <w:rFonts w:ascii="Verdana" w:hAnsi="Verdana"/>
          <w:color w:val="000000"/>
          <w:sz w:val="18"/>
          <w:szCs w:val="18"/>
        </w:rPr>
        <w:br/>
        <w:t xml:space="preserve">7.4. Контроль </w:t>
      </w:r>
      <w:proofErr w:type="gramStart"/>
      <w:r>
        <w:rPr>
          <w:rFonts w:ascii="Verdana" w:hAnsi="Verdana"/>
          <w:color w:val="000000"/>
          <w:sz w:val="18"/>
          <w:szCs w:val="18"/>
        </w:rPr>
        <w:t>уровня оценки выполнения программы экспериментальной отработки</w:t>
      </w:r>
      <w:proofErr w:type="gramEnd"/>
      <w:r>
        <w:rPr>
          <w:rFonts w:ascii="Verdana" w:hAnsi="Verdana"/>
          <w:color w:val="000000"/>
          <w:sz w:val="18"/>
          <w:szCs w:val="18"/>
        </w:rPr>
        <w:t>    342</w:t>
      </w:r>
      <w:r>
        <w:rPr>
          <w:rFonts w:ascii="Verdana" w:hAnsi="Verdana"/>
          <w:color w:val="000000"/>
          <w:sz w:val="18"/>
          <w:szCs w:val="18"/>
        </w:rPr>
        <w:br/>
        <w:t>7.5. Исследовательские испытания опытных образцов    345</w:t>
      </w:r>
      <w:r>
        <w:rPr>
          <w:rFonts w:ascii="Verdana" w:hAnsi="Verdana"/>
          <w:color w:val="000000"/>
          <w:sz w:val="18"/>
          <w:szCs w:val="18"/>
        </w:rPr>
        <w:br/>
        <w:t>7.6. Планирование исследовательских и контрольных испытаний</w:t>
      </w:r>
      <w:r>
        <w:rPr>
          <w:rFonts w:ascii="Verdana" w:hAnsi="Verdana"/>
          <w:color w:val="000000"/>
          <w:sz w:val="18"/>
          <w:szCs w:val="18"/>
        </w:rPr>
        <w:br/>
        <w:t>методом фиксированного контроля    350</w:t>
      </w:r>
      <w:r>
        <w:rPr>
          <w:rFonts w:ascii="Verdana" w:hAnsi="Verdana"/>
          <w:color w:val="000000"/>
          <w:sz w:val="18"/>
          <w:szCs w:val="18"/>
        </w:rPr>
        <w:br/>
        <w:t>7.7. Планирование испытаний    353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363</w:t>
      </w:r>
      <w:r>
        <w:rPr>
          <w:rFonts w:ascii="Verdana" w:hAnsi="Verdana"/>
          <w:color w:val="000000"/>
          <w:sz w:val="18"/>
          <w:szCs w:val="18"/>
        </w:rPr>
        <w:br/>
        <w:t>Глава 8. ПОНЯТИЕ РИСКА И ПРОБЛЕМЫ УСТОЙЧИВОГО РАЗВИТИЯ ОБЩЕСТВА     365</w:t>
      </w:r>
      <w:r>
        <w:rPr>
          <w:rFonts w:ascii="Verdana" w:hAnsi="Verdana"/>
          <w:color w:val="000000"/>
          <w:sz w:val="18"/>
          <w:szCs w:val="18"/>
        </w:rPr>
        <w:br/>
        <w:t>8.1. Математическое определение риска    365</w:t>
      </w:r>
      <w:r>
        <w:rPr>
          <w:rFonts w:ascii="Verdana" w:hAnsi="Verdana"/>
          <w:color w:val="000000"/>
          <w:sz w:val="18"/>
          <w:szCs w:val="18"/>
        </w:rPr>
        <w:br/>
        <w:t>8.2. Классификация рисков    368</w:t>
      </w:r>
      <w:r>
        <w:rPr>
          <w:rFonts w:ascii="Verdana" w:hAnsi="Verdana"/>
          <w:color w:val="000000"/>
          <w:sz w:val="18"/>
          <w:szCs w:val="18"/>
        </w:rPr>
        <w:br/>
        <w:t>8.2.1. Общая характеристика риска    368</w:t>
      </w:r>
      <w:r>
        <w:rPr>
          <w:rFonts w:ascii="Verdana" w:hAnsi="Verdana"/>
          <w:color w:val="000000"/>
          <w:sz w:val="18"/>
          <w:szCs w:val="18"/>
        </w:rPr>
        <w:br/>
        <w:t>8.2.2. Индивидуальный и коллективный риски    369</w:t>
      </w:r>
      <w:r>
        <w:rPr>
          <w:rFonts w:ascii="Verdana" w:hAnsi="Verdana"/>
          <w:color w:val="000000"/>
          <w:sz w:val="18"/>
          <w:szCs w:val="18"/>
        </w:rPr>
        <w:br/>
        <w:t>8.2.3. Потенциальный территориальный и социальный риски    374</w:t>
      </w:r>
      <w:r>
        <w:rPr>
          <w:rFonts w:ascii="Verdana" w:hAnsi="Verdana"/>
          <w:color w:val="000000"/>
          <w:sz w:val="18"/>
          <w:szCs w:val="18"/>
        </w:rPr>
        <w:br/>
        <w:t>8.2.4. Экологический риск 378</w:t>
      </w:r>
      <w:r>
        <w:rPr>
          <w:rFonts w:ascii="Verdana" w:hAnsi="Verdana"/>
          <w:color w:val="000000"/>
          <w:sz w:val="18"/>
          <w:szCs w:val="18"/>
        </w:rPr>
        <w:br/>
        <w:t>8.3. Структура техногенного риска    380</w:t>
      </w:r>
      <w:r>
        <w:rPr>
          <w:rFonts w:ascii="Verdana" w:hAnsi="Verdana"/>
          <w:color w:val="000000"/>
          <w:sz w:val="18"/>
          <w:szCs w:val="18"/>
        </w:rPr>
        <w:br/>
        <w:t>8.3.1. Проблемы техногенной безопасности    380</w:t>
      </w:r>
      <w:r>
        <w:rPr>
          <w:rFonts w:ascii="Verdana" w:hAnsi="Verdana"/>
          <w:color w:val="000000"/>
          <w:sz w:val="18"/>
          <w:szCs w:val="18"/>
        </w:rPr>
        <w:br/>
        <w:t>8.3.2. Классификация и номенклатура потенциально опасных объектов и технологий    383</w:t>
      </w:r>
      <w:r>
        <w:rPr>
          <w:rFonts w:ascii="Verdana" w:hAnsi="Verdana"/>
          <w:color w:val="000000"/>
          <w:sz w:val="18"/>
          <w:szCs w:val="18"/>
        </w:rPr>
        <w:br/>
        <w:t>8.3.3. Природно-техногенные риски    387</w:t>
      </w:r>
      <w:r>
        <w:rPr>
          <w:rFonts w:ascii="Verdana" w:hAnsi="Verdana"/>
          <w:color w:val="000000"/>
          <w:sz w:val="18"/>
          <w:szCs w:val="18"/>
        </w:rPr>
        <w:br/>
        <w:t>8.3.4. Опасности, последовательности событий, исходы аварий и их последствия    392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8.3.5. Структура полного ущерба как последствия аварий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на технических объектах    394</w:t>
      </w:r>
      <w:r>
        <w:rPr>
          <w:rFonts w:ascii="Verdana" w:hAnsi="Verdana"/>
          <w:color w:val="000000"/>
          <w:sz w:val="18"/>
          <w:szCs w:val="18"/>
        </w:rPr>
        <w:br/>
        <w:t>8.3.6. Общая структура анализа техногенного риска    400</w:t>
      </w:r>
      <w:r>
        <w:rPr>
          <w:rFonts w:ascii="Verdana" w:hAnsi="Verdana"/>
          <w:color w:val="000000"/>
          <w:sz w:val="18"/>
          <w:szCs w:val="18"/>
        </w:rPr>
        <w:br/>
        <w:t>8.4. Методы анализа техногенного риска    401</w:t>
      </w:r>
      <w:r>
        <w:rPr>
          <w:rFonts w:ascii="Verdana" w:hAnsi="Verdana"/>
          <w:color w:val="000000"/>
          <w:sz w:val="18"/>
          <w:szCs w:val="18"/>
        </w:rPr>
        <w:br/>
        <w:t>8.4.1. Планирование и организация работ    403</w:t>
      </w:r>
      <w:r>
        <w:rPr>
          <w:rFonts w:ascii="Verdana" w:hAnsi="Verdana"/>
          <w:color w:val="000000"/>
          <w:sz w:val="18"/>
          <w:szCs w:val="18"/>
        </w:rPr>
        <w:br/>
        <w:t>8.4.2. Идентификация опасностей    405</w:t>
      </w:r>
      <w:r>
        <w:rPr>
          <w:rFonts w:ascii="Verdana" w:hAnsi="Verdana"/>
          <w:color w:val="000000"/>
          <w:sz w:val="18"/>
          <w:szCs w:val="18"/>
        </w:rPr>
        <w:br/>
        <w:t>8.4.3. Характеристика методов риска    407</w:t>
      </w:r>
      <w:r>
        <w:rPr>
          <w:rFonts w:ascii="Verdana" w:hAnsi="Verdana"/>
          <w:color w:val="000000"/>
          <w:sz w:val="18"/>
          <w:szCs w:val="18"/>
        </w:rPr>
        <w:br/>
        <w:t>8.4.4. Разработка рекомендаций по уменьшению риска    412</w:t>
      </w:r>
      <w:r>
        <w:rPr>
          <w:rFonts w:ascii="Verdana" w:hAnsi="Verdana"/>
          <w:color w:val="000000"/>
          <w:sz w:val="18"/>
          <w:szCs w:val="18"/>
        </w:rPr>
        <w:br/>
        <w:t>8.4.5. Методы проведения анализа риска    413</w:t>
      </w:r>
      <w:r>
        <w:rPr>
          <w:rFonts w:ascii="Verdana" w:hAnsi="Verdana"/>
          <w:color w:val="000000"/>
          <w:sz w:val="18"/>
          <w:szCs w:val="18"/>
        </w:rPr>
        <w:br/>
        <w:t>8.4.6. Требования к оформлению результатов анализа риска    415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    416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418</w:t>
      </w:r>
      <w:bookmarkStart w:id="0" w:name="_GoBack"/>
      <w:bookmarkEnd w:id="0"/>
    </w:p>
    <w:sectPr w:rsidR="002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2D53DA"/>
    <w:rsid w:val="003A112E"/>
    <w:rsid w:val="004A0077"/>
    <w:rsid w:val="007412AC"/>
    <w:rsid w:val="00BE16D9"/>
    <w:rsid w:val="00D718EB"/>
    <w:rsid w:val="00E60A3B"/>
    <w:rsid w:val="00E96B43"/>
    <w:rsid w:val="00F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5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8</cp:revision>
  <dcterms:created xsi:type="dcterms:W3CDTF">2018-02-08T08:50:00Z</dcterms:created>
  <dcterms:modified xsi:type="dcterms:W3CDTF">2018-02-08T09:00:00Z</dcterms:modified>
</cp:coreProperties>
</file>