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Pr="00BE1955" w:rsidRDefault="00BE1955" w:rsidP="00BE1955">
      <w:r>
        <w:rPr>
          <w:rFonts w:ascii="Verdana" w:hAnsi="Verdana"/>
          <w:color w:val="000000"/>
          <w:sz w:val="18"/>
          <w:szCs w:val="18"/>
        </w:rPr>
        <w:t>ОГЛАВЛЕНИЕ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ВВЕДЕНИЕ    7</w:t>
      </w:r>
      <w:r>
        <w:rPr>
          <w:rFonts w:ascii="Verdana" w:hAnsi="Verdana"/>
          <w:color w:val="000000"/>
          <w:sz w:val="18"/>
          <w:szCs w:val="18"/>
        </w:rPr>
        <w:br/>
        <w:t xml:space="preserve">Глава 1. </w:t>
      </w:r>
      <w:proofErr w:type="spellStart"/>
      <w:r>
        <w:rPr>
          <w:rFonts w:ascii="Verdana" w:hAnsi="Verdana"/>
          <w:color w:val="000000"/>
          <w:sz w:val="18"/>
          <w:szCs w:val="18"/>
        </w:rPr>
        <w:t>Preteory</w:t>
      </w:r>
      <w:proofErr w:type="spellEnd"/>
      <w:r>
        <w:rPr>
          <w:rFonts w:ascii="Verdana" w:hAnsi="Verdana"/>
          <w:color w:val="000000"/>
          <w:sz w:val="18"/>
          <w:szCs w:val="18"/>
        </w:rPr>
        <w:t>: категория «участие» в социологических теориях</w:t>
      </w:r>
      <w:r>
        <w:rPr>
          <w:rFonts w:ascii="Verdana" w:hAnsi="Verdana"/>
          <w:color w:val="000000"/>
          <w:sz w:val="18"/>
          <w:szCs w:val="18"/>
        </w:rPr>
        <w:br/>
        <w:t>XIX –  начала ХХ века    19</w:t>
      </w:r>
      <w:r>
        <w:rPr>
          <w:rFonts w:ascii="Verdana" w:hAnsi="Verdana"/>
          <w:color w:val="000000"/>
          <w:sz w:val="18"/>
          <w:szCs w:val="18"/>
        </w:rPr>
        <w:br/>
        <w:t>1.1. Категория «участие»  в европейской социологической традиции    22</w:t>
      </w:r>
      <w:r>
        <w:rPr>
          <w:rFonts w:ascii="Verdana" w:hAnsi="Verdana"/>
          <w:color w:val="000000"/>
          <w:sz w:val="18"/>
          <w:szCs w:val="18"/>
        </w:rPr>
        <w:br/>
        <w:t>1.2. Категория «участие»  в российской социологической традиции    36</w:t>
      </w:r>
      <w:r>
        <w:rPr>
          <w:rFonts w:ascii="Verdana" w:hAnsi="Verdana"/>
          <w:color w:val="000000"/>
          <w:sz w:val="18"/>
          <w:szCs w:val="18"/>
        </w:rPr>
        <w:br/>
        <w:t>Глава 2. Общественное участие как исследовательский</w:t>
      </w:r>
      <w:r>
        <w:rPr>
          <w:rFonts w:ascii="Verdana" w:hAnsi="Verdana"/>
          <w:color w:val="000000"/>
          <w:sz w:val="18"/>
          <w:szCs w:val="18"/>
        </w:rPr>
        <w:br/>
        <w:t>и социальный проект ХХ–ХХ</w:t>
      </w:r>
      <w:proofErr w:type="gramStart"/>
      <w:r>
        <w:rPr>
          <w:rFonts w:ascii="Verdana" w:hAnsi="Verdana"/>
          <w:color w:val="000000"/>
          <w:sz w:val="18"/>
          <w:szCs w:val="18"/>
        </w:rPr>
        <w:t>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веков    51</w:t>
      </w:r>
      <w:r>
        <w:rPr>
          <w:rFonts w:ascii="Verdana" w:hAnsi="Verdana"/>
          <w:color w:val="000000"/>
          <w:sz w:val="18"/>
          <w:szCs w:val="18"/>
        </w:rPr>
        <w:br/>
        <w:t>2.1. Проектные основания анализа  общественного участия    51</w:t>
      </w:r>
      <w:r>
        <w:rPr>
          <w:rFonts w:ascii="Verdana" w:hAnsi="Verdana"/>
          <w:color w:val="000000"/>
          <w:sz w:val="18"/>
          <w:szCs w:val="18"/>
        </w:rPr>
        <w:br/>
        <w:t>2.2. Общественное участие: выделение социального</w:t>
      </w:r>
      <w:r>
        <w:rPr>
          <w:rFonts w:ascii="Verdana" w:hAnsi="Verdana"/>
          <w:color w:val="000000"/>
          <w:sz w:val="18"/>
          <w:szCs w:val="18"/>
        </w:rPr>
        <w:br/>
        <w:t>и исследовательского пространства    58</w:t>
      </w:r>
      <w:r>
        <w:rPr>
          <w:rFonts w:ascii="Verdana" w:hAnsi="Verdana"/>
          <w:color w:val="000000"/>
          <w:sz w:val="18"/>
          <w:szCs w:val="18"/>
        </w:rPr>
        <w:br/>
        <w:t>2.3. Общественное участие как инструмент политики благоденствия:</w:t>
      </w:r>
      <w:r>
        <w:rPr>
          <w:rFonts w:ascii="Verdana" w:hAnsi="Verdana"/>
          <w:color w:val="000000"/>
          <w:sz w:val="18"/>
          <w:szCs w:val="18"/>
        </w:rPr>
        <w:br/>
        <w:t>проект в формате «сверху вниз» (конец 1930-х–1950-е годы)    72</w:t>
      </w:r>
      <w:r>
        <w:rPr>
          <w:rFonts w:ascii="Verdana" w:hAnsi="Verdana"/>
          <w:color w:val="000000"/>
          <w:sz w:val="18"/>
          <w:szCs w:val="18"/>
        </w:rPr>
        <w:br/>
        <w:t>2.4. «Максимально возможное участие»: кризис общественного</w:t>
      </w:r>
      <w:r>
        <w:rPr>
          <w:rFonts w:ascii="Verdana" w:hAnsi="Verdana"/>
          <w:color w:val="000000"/>
          <w:sz w:val="18"/>
          <w:szCs w:val="18"/>
        </w:rPr>
        <w:br/>
        <w:t>участия как государственного проекта (1960-е гг.)    89</w:t>
      </w:r>
      <w:r>
        <w:rPr>
          <w:rFonts w:ascii="Verdana" w:hAnsi="Verdana"/>
          <w:color w:val="000000"/>
          <w:sz w:val="18"/>
          <w:szCs w:val="18"/>
        </w:rPr>
        <w:br/>
        <w:t>2.5. Общественное участие  как инструмент социального развития:</w:t>
      </w:r>
      <w:r>
        <w:rPr>
          <w:rFonts w:ascii="Verdana" w:hAnsi="Verdana"/>
          <w:color w:val="000000"/>
          <w:sz w:val="18"/>
          <w:szCs w:val="18"/>
        </w:rPr>
        <w:br/>
        <w:t>проект в формате «снизу вверх»?  (1970–1990-е гг. ХХ века)    118</w:t>
      </w:r>
      <w:r>
        <w:rPr>
          <w:rFonts w:ascii="Verdana" w:hAnsi="Verdana"/>
          <w:color w:val="000000"/>
          <w:sz w:val="18"/>
          <w:szCs w:val="18"/>
        </w:rPr>
        <w:br/>
        <w:t>2.6. «Тирания участия»: кризис общественного участия</w:t>
      </w:r>
      <w:r>
        <w:rPr>
          <w:rFonts w:ascii="Verdana" w:hAnsi="Verdana"/>
          <w:color w:val="000000"/>
          <w:sz w:val="18"/>
          <w:szCs w:val="18"/>
        </w:rPr>
        <w:br/>
        <w:t>как социального проекта (2000-е годы)    144</w:t>
      </w:r>
      <w:r>
        <w:rPr>
          <w:rFonts w:ascii="Verdana" w:hAnsi="Verdana"/>
          <w:color w:val="000000"/>
          <w:sz w:val="18"/>
          <w:szCs w:val="18"/>
        </w:rPr>
        <w:br/>
        <w:t>2.7. Общественное участие как расширение возможностей: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состоится ли новый проект?    155</w:t>
      </w:r>
      <w:r>
        <w:rPr>
          <w:rFonts w:ascii="Verdana" w:hAnsi="Verdana"/>
          <w:color w:val="000000"/>
          <w:sz w:val="18"/>
          <w:szCs w:val="18"/>
        </w:rPr>
        <w:br/>
        <w:t>Глава 3. Общественное участие:  современное теоретическое</w:t>
      </w:r>
      <w:r>
        <w:rPr>
          <w:rFonts w:ascii="Verdana" w:hAnsi="Verdana"/>
          <w:color w:val="000000"/>
          <w:sz w:val="18"/>
          <w:szCs w:val="18"/>
        </w:rPr>
        <w:br/>
        <w:t>поле интерпретации    171</w:t>
      </w:r>
      <w:r>
        <w:rPr>
          <w:rFonts w:ascii="Verdana" w:hAnsi="Verdana"/>
          <w:color w:val="000000"/>
          <w:sz w:val="18"/>
          <w:szCs w:val="18"/>
        </w:rPr>
        <w:br/>
        <w:t>3.1. Общественное участие  как социальный капитал    178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br/>
        <w:t>3.2. Участие как инструмент  и результат социальной мобилизации    189</w:t>
      </w:r>
      <w:r>
        <w:rPr>
          <w:rFonts w:ascii="Verdana" w:hAnsi="Verdana"/>
          <w:color w:val="000000"/>
          <w:sz w:val="18"/>
          <w:szCs w:val="18"/>
        </w:rPr>
        <w:br/>
        <w:t>3.3. Участие как проявление гражданства    199</w:t>
      </w:r>
      <w:r>
        <w:rPr>
          <w:rFonts w:ascii="Verdana" w:hAnsi="Verdana"/>
          <w:color w:val="000000"/>
          <w:sz w:val="18"/>
          <w:szCs w:val="18"/>
        </w:rPr>
        <w:br/>
        <w:t>Глава 4. Общественное участие: социально-</w:t>
      </w:r>
      <w:proofErr w:type="spellStart"/>
      <w:r>
        <w:rPr>
          <w:rFonts w:ascii="Verdana" w:hAnsi="Verdana"/>
          <w:color w:val="000000"/>
          <w:sz w:val="18"/>
          <w:szCs w:val="18"/>
        </w:rPr>
        <w:t>конструкционистский</w:t>
      </w:r>
      <w:proofErr w:type="spellEnd"/>
      <w:r>
        <w:rPr>
          <w:rFonts w:ascii="Verdana" w:hAnsi="Verdana"/>
          <w:color w:val="000000"/>
          <w:sz w:val="18"/>
          <w:szCs w:val="18"/>
        </w:rPr>
        <w:br/>
        <w:t>анализ    213</w:t>
      </w:r>
      <w:r>
        <w:rPr>
          <w:rFonts w:ascii="Verdana" w:hAnsi="Verdana"/>
          <w:color w:val="000000"/>
          <w:sz w:val="18"/>
          <w:szCs w:val="18"/>
        </w:rPr>
        <w:br/>
        <w:t>4.1. Социально-</w:t>
      </w:r>
      <w:proofErr w:type="spellStart"/>
      <w:r>
        <w:rPr>
          <w:rFonts w:ascii="Verdana" w:hAnsi="Verdana"/>
          <w:color w:val="000000"/>
          <w:sz w:val="18"/>
          <w:szCs w:val="18"/>
        </w:rPr>
        <w:t>конструкционистский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подход  к анализу феномена</w:t>
      </w:r>
      <w:r>
        <w:rPr>
          <w:rFonts w:ascii="Verdana" w:hAnsi="Verdana"/>
          <w:color w:val="000000"/>
          <w:sz w:val="18"/>
          <w:szCs w:val="18"/>
        </w:rPr>
        <w:br/>
        <w:t>общественного участия    213</w:t>
      </w:r>
      <w:r>
        <w:rPr>
          <w:rFonts w:ascii="Verdana" w:hAnsi="Verdana"/>
          <w:color w:val="000000"/>
          <w:sz w:val="18"/>
          <w:szCs w:val="18"/>
        </w:rPr>
        <w:br/>
        <w:t>4.2. Топология общественного участия: пространство, границы,</w:t>
      </w:r>
      <w:r>
        <w:rPr>
          <w:rFonts w:ascii="Verdana" w:hAnsi="Verdana"/>
          <w:color w:val="000000"/>
          <w:sz w:val="18"/>
          <w:szCs w:val="18"/>
        </w:rPr>
        <w:br/>
        <w:t>структура    237</w:t>
      </w:r>
      <w:r>
        <w:rPr>
          <w:rFonts w:ascii="Verdana" w:hAnsi="Verdana"/>
          <w:color w:val="000000"/>
          <w:sz w:val="18"/>
          <w:szCs w:val="18"/>
        </w:rPr>
        <w:br/>
        <w:t>Глава 5. Общественное участие:  российский контекст    265</w:t>
      </w:r>
      <w:r>
        <w:rPr>
          <w:rFonts w:ascii="Verdana" w:hAnsi="Verdana"/>
          <w:color w:val="000000"/>
          <w:sz w:val="18"/>
          <w:szCs w:val="18"/>
        </w:rPr>
        <w:br/>
        <w:t>5.1. Общественное участие  как государственный</w:t>
      </w:r>
      <w:r>
        <w:rPr>
          <w:rFonts w:ascii="Verdana" w:hAnsi="Verdana"/>
          <w:color w:val="000000"/>
          <w:sz w:val="18"/>
          <w:szCs w:val="18"/>
        </w:rPr>
        <w:br/>
        <w:t>мобилизационный проект:  предпосылки и особенности реализации    265</w:t>
      </w:r>
      <w:r>
        <w:rPr>
          <w:rFonts w:ascii="Verdana" w:hAnsi="Verdana"/>
          <w:color w:val="000000"/>
          <w:sz w:val="18"/>
          <w:szCs w:val="18"/>
        </w:rPr>
        <w:br/>
        <w:t>5.2. Общественное участие сегодня: государственная</w:t>
      </w:r>
      <w:r>
        <w:rPr>
          <w:rFonts w:ascii="Verdana" w:hAnsi="Verdana"/>
          <w:color w:val="000000"/>
          <w:sz w:val="18"/>
          <w:szCs w:val="18"/>
        </w:rPr>
        <w:br/>
        <w:t>модернизация, общественная мобилизация</w:t>
      </w:r>
      <w:r>
        <w:rPr>
          <w:rFonts w:ascii="Verdana" w:hAnsi="Verdana"/>
          <w:color w:val="000000"/>
          <w:sz w:val="18"/>
          <w:szCs w:val="18"/>
        </w:rPr>
        <w:br/>
        <w:t>или «хорошая колонизация»    281</w:t>
      </w:r>
      <w:r>
        <w:rPr>
          <w:rFonts w:ascii="Verdana" w:hAnsi="Verdana"/>
          <w:color w:val="000000"/>
          <w:sz w:val="18"/>
          <w:szCs w:val="18"/>
        </w:rPr>
        <w:br/>
        <w:t>Глава 6. Общественное участие в современных</w:t>
      </w:r>
      <w:r>
        <w:rPr>
          <w:rFonts w:ascii="Verdana" w:hAnsi="Verdana"/>
          <w:color w:val="000000"/>
          <w:sz w:val="18"/>
          <w:szCs w:val="18"/>
        </w:rPr>
        <w:br/>
        <w:t>российских сообществах    297</w:t>
      </w:r>
      <w:r>
        <w:rPr>
          <w:rFonts w:ascii="Verdana" w:hAnsi="Verdana"/>
          <w:color w:val="000000"/>
          <w:sz w:val="18"/>
          <w:szCs w:val="18"/>
        </w:rPr>
        <w:br/>
        <w:t>6.1. Общественное участие в сообществах интересов:</w:t>
      </w:r>
      <w:r>
        <w:rPr>
          <w:rFonts w:ascii="Verdana" w:hAnsi="Verdana"/>
          <w:color w:val="000000"/>
          <w:sz w:val="18"/>
          <w:szCs w:val="18"/>
        </w:rPr>
        <w:br/>
        <w:t>опыт исследования практик участия  в городской среде    297</w:t>
      </w:r>
      <w:r>
        <w:rPr>
          <w:rFonts w:ascii="Verdana" w:hAnsi="Verdana"/>
          <w:color w:val="000000"/>
          <w:sz w:val="18"/>
          <w:szCs w:val="18"/>
        </w:rPr>
        <w:br/>
        <w:t>6.2. Социальное картирование как метод исследования</w:t>
      </w:r>
      <w:r>
        <w:rPr>
          <w:rFonts w:ascii="Verdana" w:hAnsi="Verdana"/>
          <w:color w:val="000000"/>
          <w:sz w:val="18"/>
          <w:szCs w:val="18"/>
        </w:rPr>
        <w:br/>
        <w:t>социально-территориального пространства участия    316</w:t>
      </w:r>
      <w:r>
        <w:rPr>
          <w:rFonts w:ascii="Verdana" w:hAnsi="Verdana"/>
          <w:color w:val="000000"/>
          <w:sz w:val="18"/>
          <w:szCs w:val="18"/>
        </w:rPr>
        <w:br/>
        <w:t>6.3. Общественное участие  в социально-территориальных</w:t>
      </w:r>
      <w:r>
        <w:rPr>
          <w:rFonts w:ascii="Verdana" w:hAnsi="Verdana"/>
          <w:color w:val="000000"/>
          <w:sz w:val="18"/>
          <w:szCs w:val="18"/>
        </w:rPr>
        <w:br/>
        <w:t>сообществах:  опыт исследования малых поселений    340</w:t>
      </w:r>
      <w:r>
        <w:rPr>
          <w:rFonts w:ascii="Verdana" w:hAnsi="Verdana"/>
          <w:color w:val="000000"/>
          <w:sz w:val="18"/>
          <w:szCs w:val="18"/>
        </w:rPr>
        <w:br/>
        <w:t>Заключение    375</w:t>
      </w:r>
      <w:r>
        <w:rPr>
          <w:rFonts w:ascii="Verdana" w:hAnsi="Verdana"/>
          <w:color w:val="000000"/>
          <w:sz w:val="18"/>
          <w:szCs w:val="18"/>
        </w:rPr>
        <w:br/>
        <w:t>Библиографический список    378</w:t>
      </w:r>
    </w:p>
    <w:sectPr w:rsidR="002D53DA" w:rsidRPr="00BE1955" w:rsidSect="002E02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0467E"/>
    <w:rsid w:val="000077D1"/>
    <w:rsid w:val="00011BA8"/>
    <w:rsid w:val="00052040"/>
    <w:rsid w:val="00052759"/>
    <w:rsid w:val="000579CB"/>
    <w:rsid w:val="000E748B"/>
    <w:rsid w:val="000F391E"/>
    <w:rsid w:val="00236A23"/>
    <w:rsid w:val="002534F2"/>
    <w:rsid w:val="002D53DA"/>
    <w:rsid w:val="002E0289"/>
    <w:rsid w:val="00387C1C"/>
    <w:rsid w:val="003A112E"/>
    <w:rsid w:val="004529EB"/>
    <w:rsid w:val="004A0077"/>
    <w:rsid w:val="004E58E8"/>
    <w:rsid w:val="004F68F3"/>
    <w:rsid w:val="005714F5"/>
    <w:rsid w:val="005F674B"/>
    <w:rsid w:val="00614EB7"/>
    <w:rsid w:val="0068728B"/>
    <w:rsid w:val="006A18BA"/>
    <w:rsid w:val="006F4F5B"/>
    <w:rsid w:val="0073786D"/>
    <w:rsid w:val="007412AC"/>
    <w:rsid w:val="007D2AD4"/>
    <w:rsid w:val="007E1271"/>
    <w:rsid w:val="007F016F"/>
    <w:rsid w:val="0080078C"/>
    <w:rsid w:val="008202E4"/>
    <w:rsid w:val="008239C7"/>
    <w:rsid w:val="008C52F3"/>
    <w:rsid w:val="008F7305"/>
    <w:rsid w:val="00937043"/>
    <w:rsid w:val="00937CCB"/>
    <w:rsid w:val="00991352"/>
    <w:rsid w:val="009C08DD"/>
    <w:rsid w:val="009F0C60"/>
    <w:rsid w:val="00A624AC"/>
    <w:rsid w:val="00A9634C"/>
    <w:rsid w:val="00AF663F"/>
    <w:rsid w:val="00BB4AD6"/>
    <w:rsid w:val="00BE16D9"/>
    <w:rsid w:val="00BE1955"/>
    <w:rsid w:val="00BE3810"/>
    <w:rsid w:val="00C508BF"/>
    <w:rsid w:val="00C95AA2"/>
    <w:rsid w:val="00CE6F02"/>
    <w:rsid w:val="00D43A86"/>
    <w:rsid w:val="00D718EB"/>
    <w:rsid w:val="00DF025D"/>
    <w:rsid w:val="00E60A3B"/>
    <w:rsid w:val="00E96B43"/>
    <w:rsid w:val="00F058F2"/>
    <w:rsid w:val="00F15760"/>
    <w:rsid w:val="00F214FE"/>
    <w:rsid w:val="00F65513"/>
    <w:rsid w:val="00FA4508"/>
    <w:rsid w:val="00FD22E3"/>
    <w:rsid w:val="00FE6651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61</cp:revision>
  <dcterms:created xsi:type="dcterms:W3CDTF">2018-02-08T08:50:00Z</dcterms:created>
  <dcterms:modified xsi:type="dcterms:W3CDTF">2018-02-14T07:15:00Z</dcterms:modified>
</cp:coreProperties>
</file>