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DF025D" w:rsidRDefault="00DF025D" w:rsidP="00DF025D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Глава 1. Толерантность  как многомерное явление    15</w:t>
      </w:r>
      <w:r>
        <w:rPr>
          <w:rFonts w:ascii="Verdana" w:hAnsi="Verdana"/>
          <w:color w:val="000000"/>
          <w:sz w:val="18"/>
          <w:szCs w:val="18"/>
        </w:rPr>
        <w:br/>
        <w:t>   1.1. Понятие толерантности    15</w:t>
      </w:r>
      <w:r>
        <w:rPr>
          <w:rFonts w:ascii="Verdana" w:hAnsi="Verdana"/>
          <w:color w:val="000000"/>
          <w:sz w:val="18"/>
          <w:szCs w:val="18"/>
        </w:rPr>
        <w:br/>
        <w:t>   1.2. Подходы к систематизации  уровней и видов толерантности    23</w:t>
      </w:r>
      <w:r>
        <w:rPr>
          <w:rFonts w:ascii="Verdana" w:hAnsi="Verdana"/>
          <w:color w:val="000000"/>
          <w:sz w:val="18"/>
          <w:szCs w:val="18"/>
        </w:rPr>
        <w:br/>
        <w:t>   1.3. Толерантность  как ценностно-смысловое образование    35</w:t>
      </w:r>
      <w:r>
        <w:rPr>
          <w:rFonts w:ascii="Verdana" w:hAnsi="Verdana"/>
          <w:color w:val="000000"/>
          <w:sz w:val="18"/>
          <w:szCs w:val="18"/>
        </w:rPr>
        <w:br/>
        <w:t>   1.4. Толерантность как психологическая устойчивость (к стрессам,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          ситуациям  неопределенности, ситуациям конфликта)    41</w:t>
      </w:r>
      <w:r>
        <w:rPr>
          <w:rFonts w:ascii="Verdana" w:hAnsi="Verdana"/>
          <w:color w:val="000000"/>
          <w:sz w:val="18"/>
          <w:szCs w:val="18"/>
        </w:rPr>
        <w:br/>
        <w:t>   1.5. Толерантность  как социально-психологическое явление    44</w:t>
      </w:r>
      <w:r>
        <w:rPr>
          <w:rFonts w:ascii="Verdana" w:hAnsi="Verdana"/>
          <w:color w:val="000000"/>
          <w:sz w:val="18"/>
          <w:szCs w:val="18"/>
        </w:rPr>
        <w:br/>
        <w:t>   1.6. Психологические механизмы  развития толерантности    55</w:t>
      </w:r>
      <w:r>
        <w:rPr>
          <w:rFonts w:ascii="Verdana" w:hAnsi="Verdana"/>
          <w:color w:val="000000"/>
          <w:sz w:val="18"/>
          <w:szCs w:val="18"/>
        </w:rPr>
        <w:br/>
        <w:t>   Выводы    65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2.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как психологический механизм развития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толерантности личности    69</w:t>
      </w:r>
      <w:r>
        <w:rPr>
          <w:rFonts w:ascii="Verdana" w:hAnsi="Verdana"/>
          <w:color w:val="000000"/>
          <w:sz w:val="18"/>
          <w:szCs w:val="18"/>
        </w:rPr>
        <w:br/>
        <w:t xml:space="preserve">   2.1. Понятие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69</w:t>
      </w:r>
      <w:r>
        <w:rPr>
          <w:rFonts w:ascii="Verdana" w:hAnsi="Verdana"/>
          <w:color w:val="000000"/>
          <w:sz w:val="18"/>
          <w:szCs w:val="18"/>
        </w:rPr>
        <w:br/>
        <w:t xml:space="preserve">   2.2. Виды и уровни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75</w:t>
      </w:r>
      <w:r>
        <w:rPr>
          <w:rFonts w:ascii="Verdana" w:hAnsi="Verdana"/>
          <w:color w:val="000000"/>
          <w:sz w:val="18"/>
          <w:szCs w:val="18"/>
        </w:rPr>
        <w:br/>
        <w:t>   2.3. Эгоцентризм как социально-психологическое свойство человека    80</w:t>
      </w:r>
      <w:r>
        <w:rPr>
          <w:rFonts w:ascii="Verdana" w:hAnsi="Verdana"/>
          <w:color w:val="000000"/>
          <w:sz w:val="18"/>
          <w:szCs w:val="18"/>
        </w:rPr>
        <w:br/>
        <w:t xml:space="preserve">   2.4. Развитие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88</w:t>
      </w:r>
      <w:r>
        <w:rPr>
          <w:rFonts w:ascii="Verdana" w:hAnsi="Verdana"/>
          <w:color w:val="000000"/>
          <w:sz w:val="18"/>
          <w:szCs w:val="18"/>
        </w:rPr>
        <w:br/>
        <w:t>   2.5. Обоснование коррекционной программы  в виде</w:t>
      </w:r>
      <w:r>
        <w:rPr>
          <w:rFonts w:ascii="Verdana" w:hAnsi="Verdana"/>
          <w:color w:val="000000"/>
          <w:sz w:val="18"/>
          <w:szCs w:val="18"/>
        </w:rPr>
        <w:br/>
        <w:t>          психологического практикума, направленного на развитие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способности к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96</w:t>
      </w:r>
      <w:r>
        <w:rPr>
          <w:rFonts w:ascii="Verdana" w:hAnsi="Verdana"/>
          <w:color w:val="000000"/>
          <w:sz w:val="18"/>
          <w:szCs w:val="18"/>
        </w:rPr>
        <w:br/>
        <w:t>   Выводы    102</w:t>
      </w:r>
      <w:r>
        <w:rPr>
          <w:rFonts w:ascii="Verdana" w:hAnsi="Verdana"/>
          <w:color w:val="000000"/>
          <w:sz w:val="18"/>
          <w:szCs w:val="18"/>
        </w:rPr>
        <w:br/>
        <w:t>Глава 3. Эмпирическое исследование  психологических механизмов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развития  толерантности у студентов вуза    105</w:t>
      </w:r>
      <w:r>
        <w:rPr>
          <w:rFonts w:ascii="Verdana" w:hAnsi="Verdana"/>
          <w:color w:val="000000"/>
          <w:sz w:val="18"/>
          <w:szCs w:val="18"/>
        </w:rPr>
        <w:br/>
        <w:t>   3.1. Общая характеристика  эмпирического исследования    105</w:t>
      </w:r>
      <w:r>
        <w:rPr>
          <w:rFonts w:ascii="Verdana" w:hAnsi="Verdana"/>
          <w:color w:val="000000"/>
          <w:sz w:val="18"/>
          <w:szCs w:val="18"/>
        </w:rPr>
        <w:br/>
        <w:t>   3.2. Методы и методики исследования    109</w:t>
      </w:r>
      <w:r>
        <w:rPr>
          <w:rFonts w:ascii="Verdana" w:hAnsi="Verdana"/>
          <w:color w:val="000000"/>
          <w:sz w:val="18"/>
          <w:szCs w:val="18"/>
        </w:rPr>
        <w:br/>
        <w:t>   3.3. Анализ результатов стандартизации и проверки надежности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и </w:t>
      </w:r>
      <w:proofErr w:type="spellStart"/>
      <w:r>
        <w:rPr>
          <w:rFonts w:ascii="Verdana" w:hAnsi="Verdana"/>
          <w:color w:val="000000"/>
          <w:sz w:val="18"/>
          <w:szCs w:val="18"/>
        </w:rPr>
        <w:t>валидности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  опросника «Уровень толерантности студентов»    123</w:t>
      </w:r>
      <w:r>
        <w:rPr>
          <w:rFonts w:ascii="Verdana" w:hAnsi="Verdana"/>
          <w:color w:val="000000"/>
          <w:sz w:val="18"/>
          <w:szCs w:val="18"/>
        </w:rPr>
        <w:br/>
        <w:t>    3.4. Анализ особенностей проявления  и структуры связей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 толерантности  и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другими личностными</w:t>
      </w:r>
      <w:r>
        <w:rPr>
          <w:rFonts w:ascii="Verdana" w:hAnsi="Verdana"/>
          <w:color w:val="000000"/>
          <w:sz w:val="18"/>
          <w:szCs w:val="18"/>
        </w:rPr>
        <w:br/>
        <w:t>           характеристиками у студентов    133</w:t>
      </w:r>
      <w:r>
        <w:rPr>
          <w:rFonts w:ascii="Verdana" w:hAnsi="Verdana"/>
          <w:color w:val="000000"/>
          <w:sz w:val="18"/>
          <w:szCs w:val="18"/>
        </w:rPr>
        <w:br/>
        <w:t>      3.4.1. Анализ особенностей проявления  толерантности,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  и других личностных характеристик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               у студентов    134</w:t>
      </w:r>
      <w:r>
        <w:rPr>
          <w:rFonts w:ascii="Verdana" w:hAnsi="Verdana"/>
          <w:color w:val="000000"/>
          <w:sz w:val="18"/>
          <w:szCs w:val="18"/>
        </w:rPr>
        <w:br/>
        <w:t>      3.4.2. Анализ корреляций толерантности  и способности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      к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  с другими личностными характеристиками    150</w:t>
      </w:r>
      <w:r>
        <w:rPr>
          <w:rFonts w:ascii="Verdana" w:hAnsi="Verdana"/>
          <w:color w:val="000000"/>
          <w:sz w:val="18"/>
          <w:szCs w:val="18"/>
        </w:rPr>
        <w:br/>
        <w:t>       3.4.3. Обсуждение результатов факторного анализа личностных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 свойств,  определяющих пространство толерантности    159</w:t>
      </w:r>
      <w:r>
        <w:rPr>
          <w:rFonts w:ascii="Verdana" w:hAnsi="Verdana"/>
          <w:color w:val="000000"/>
          <w:sz w:val="18"/>
          <w:szCs w:val="18"/>
        </w:rPr>
        <w:br/>
        <w:t>   3.5. Анализ результатов изучения  влияния психологического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          практикума,  направленного на развитие способности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          к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децентрации</w:t>
      </w:r>
      <w:proofErr w:type="spellEnd"/>
      <w:r>
        <w:rPr>
          <w:rFonts w:ascii="Verdana" w:hAnsi="Verdana"/>
          <w:color w:val="000000"/>
          <w:sz w:val="18"/>
          <w:szCs w:val="18"/>
        </w:rPr>
        <w:t>,  на уровень толерантности у студентов    164</w:t>
      </w:r>
      <w:r>
        <w:rPr>
          <w:rFonts w:ascii="Verdana" w:hAnsi="Verdana"/>
          <w:color w:val="000000"/>
          <w:sz w:val="18"/>
          <w:szCs w:val="18"/>
        </w:rPr>
        <w:br/>
        <w:t>Выводы    176</w:t>
      </w:r>
      <w:r>
        <w:rPr>
          <w:rFonts w:ascii="Verdana" w:hAnsi="Verdana"/>
          <w:color w:val="000000"/>
          <w:sz w:val="18"/>
          <w:szCs w:val="18"/>
        </w:rPr>
        <w:br/>
        <w:t>Заключение    178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181</w:t>
      </w:r>
      <w:r>
        <w:rPr>
          <w:rFonts w:ascii="Verdana" w:hAnsi="Verdana"/>
          <w:color w:val="000000"/>
          <w:sz w:val="18"/>
          <w:szCs w:val="18"/>
        </w:rPr>
        <w:br/>
        <w:t>Приложения    201</w:t>
      </w:r>
      <w:r>
        <w:rPr>
          <w:rFonts w:ascii="Verdana" w:hAnsi="Verdana"/>
          <w:color w:val="000000"/>
          <w:sz w:val="18"/>
          <w:szCs w:val="18"/>
        </w:rPr>
        <w:br/>
        <w:t>   Приложение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    201</w:t>
      </w:r>
      <w:r>
        <w:rPr>
          <w:rFonts w:ascii="Verdana" w:hAnsi="Verdana"/>
          <w:color w:val="000000"/>
          <w:sz w:val="18"/>
          <w:szCs w:val="18"/>
        </w:rPr>
        <w:br/>
        <w:t>   Приложение Б    205</w:t>
      </w:r>
      <w:r>
        <w:rPr>
          <w:rFonts w:ascii="Verdana" w:hAnsi="Verdana"/>
          <w:color w:val="000000"/>
          <w:sz w:val="18"/>
          <w:szCs w:val="18"/>
        </w:rPr>
        <w:br/>
        <w:t>   Приложение В    212</w:t>
      </w:r>
      <w:r>
        <w:rPr>
          <w:rFonts w:ascii="Verdana" w:hAnsi="Verdana"/>
          <w:color w:val="000000"/>
          <w:sz w:val="18"/>
          <w:szCs w:val="18"/>
        </w:rPr>
        <w:br/>
        <w:t>   Приложение Г    213</w:t>
      </w:r>
      <w:bookmarkStart w:id="0" w:name="_GoBack"/>
      <w:bookmarkEnd w:id="0"/>
    </w:p>
    <w:sectPr w:rsidR="002D53DA" w:rsidRPr="00DF025D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E748B"/>
    <w:rsid w:val="000F391E"/>
    <w:rsid w:val="002534F2"/>
    <w:rsid w:val="002D53DA"/>
    <w:rsid w:val="002E0289"/>
    <w:rsid w:val="003A112E"/>
    <w:rsid w:val="004529EB"/>
    <w:rsid w:val="004A0077"/>
    <w:rsid w:val="004E58E8"/>
    <w:rsid w:val="004F68F3"/>
    <w:rsid w:val="005714F5"/>
    <w:rsid w:val="005F674B"/>
    <w:rsid w:val="00614EB7"/>
    <w:rsid w:val="0068728B"/>
    <w:rsid w:val="0073786D"/>
    <w:rsid w:val="007412AC"/>
    <w:rsid w:val="007D2AD4"/>
    <w:rsid w:val="007F016F"/>
    <w:rsid w:val="0080078C"/>
    <w:rsid w:val="008202E4"/>
    <w:rsid w:val="008239C7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DF025D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53</cp:revision>
  <dcterms:created xsi:type="dcterms:W3CDTF">2018-02-08T08:50:00Z</dcterms:created>
  <dcterms:modified xsi:type="dcterms:W3CDTF">2018-02-13T08:50:00Z</dcterms:modified>
</cp:coreProperties>
</file>