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Pr="009C7DC2" w:rsidRDefault="00947533" w:rsidP="009C7DC2">
      <w:r>
        <w:rPr>
          <w:rFonts w:ascii="Verdana" w:hAnsi="Verdana"/>
          <w:color w:val="000000"/>
          <w:sz w:val="18"/>
          <w:szCs w:val="18"/>
        </w:rPr>
        <w:t>ОГЛАВЛЕНИЕ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Предисловие    6</w:t>
      </w:r>
      <w:r>
        <w:rPr>
          <w:rFonts w:ascii="Verdana" w:hAnsi="Verdana"/>
          <w:color w:val="000000"/>
          <w:sz w:val="18"/>
          <w:szCs w:val="18"/>
        </w:rPr>
        <w:br/>
        <w:t>Введение    8</w:t>
      </w:r>
      <w:r>
        <w:rPr>
          <w:rFonts w:ascii="Verdana" w:hAnsi="Verdana"/>
          <w:color w:val="000000"/>
          <w:sz w:val="18"/>
          <w:szCs w:val="18"/>
        </w:rPr>
        <w:br/>
        <w:t>Глава 1. Основные положения теории технической диагностики    9</w:t>
      </w:r>
      <w:r>
        <w:rPr>
          <w:rFonts w:ascii="Verdana" w:hAnsi="Verdana"/>
          <w:color w:val="000000"/>
          <w:sz w:val="18"/>
          <w:szCs w:val="18"/>
        </w:rPr>
        <w:br/>
        <w:t>1.1. Основные понятия и определения    9</w:t>
      </w:r>
      <w:r>
        <w:rPr>
          <w:rFonts w:ascii="Verdana" w:hAnsi="Verdana"/>
          <w:color w:val="000000"/>
          <w:sz w:val="18"/>
          <w:szCs w:val="18"/>
        </w:rPr>
        <w:br/>
        <w:t>1.2. Цели и задачи технической диагностики    22</w:t>
      </w:r>
      <w:r>
        <w:rPr>
          <w:rFonts w:ascii="Verdana" w:hAnsi="Verdana"/>
          <w:color w:val="000000"/>
          <w:sz w:val="18"/>
          <w:szCs w:val="18"/>
        </w:rPr>
        <w:br/>
        <w:t>1.3. Классификация методов и средств диагностики транспортного комплекса    23</w:t>
      </w:r>
      <w:r>
        <w:rPr>
          <w:rFonts w:ascii="Verdana" w:hAnsi="Verdana"/>
          <w:color w:val="000000"/>
          <w:sz w:val="18"/>
          <w:szCs w:val="18"/>
        </w:rPr>
        <w:br/>
        <w:t>Глава 2. Транспорт как объект диагностирования    25</w:t>
      </w:r>
      <w:r>
        <w:rPr>
          <w:rFonts w:ascii="Verdana" w:hAnsi="Verdana"/>
          <w:color w:val="000000"/>
          <w:sz w:val="18"/>
          <w:szCs w:val="18"/>
        </w:rPr>
        <w:br/>
        <w:t>2.1. Структура транспорта    25</w:t>
      </w:r>
      <w:r>
        <w:rPr>
          <w:rFonts w:ascii="Verdana" w:hAnsi="Verdana"/>
          <w:color w:val="000000"/>
          <w:sz w:val="18"/>
          <w:szCs w:val="18"/>
        </w:rPr>
        <w:br/>
        <w:t>2.2. Характеристика подвижного состава как объекта диагностирования    27</w:t>
      </w:r>
      <w:r>
        <w:rPr>
          <w:rFonts w:ascii="Verdana" w:hAnsi="Verdana"/>
          <w:color w:val="000000"/>
          <w:sz w:val="18"/>
          <w:szCs w:val="18"/>
        </w:rPr>
        <w:br/>
        <w:t>2.3. Признаки и параметры диагностики технического состояния подвижного состава    35</w:t>
      </w:r>
      <w:r>
        <w:rPr>
          <w:rFonts w:ascii="Verdana" w:hAnsi="Verdana"/>
          <w:color w:val="000000"/>
          <w:sz w:val="18"/>
          <w:szCs w:val="18"/>
        </w:rPr>
        <w:br/>
        <w:t>2.4. Методы и средства диагностирования транспортного средства    39</w:t>
      </w:r>
      <w:r>
        <w:rPr>
          <w:rFonts w:ascii="Verdana" w:hAnsi="Verdana"/>
          <w:color w:val="000000"/>
          <w:sz w:val="18"/>
          <w:szCs w:val="18"/>
        </w:rPr>
        <w:br/>
        <w:t>2.4.1. Основное сопротивление движению как показатель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общего технического состояния    39</w:t>
      </w:r>
      <w:r>
        <w:rPr>
          <w:rFonts w:ascii="Verdana" w:hAnsi="Verdana"/>
          <w:color w:val="000000"/>
          <w:sz w:val="18"/>
          <w:szCs w:val="18"/>
        </w:rPr>
        <w:br/>
        <w:t>2.4.2. Диагностика электрической части подвижного состава    59</w:t>
      </w:r>
      <w:r>
        <w:rPr>
          <w:rFonts w:ascii="Verdana" w:hAnsi="Verdana"/>
          <w:color w:val="000000"/>
          <w:sz w:val="18"/>
          <w:szCs w:val="18"/>
        </w:rPr>
        <w:br/>
        <w:t>2.4.3. Диагностика сопротивления изоляции    72</w:t>
      </w:r>
      <w:r>
        <w:rPr>
          <w:rFonts w:ascii="Verdana" w:hAnsi="Verdana"/>
          <w:color w:val="000000"/>
          <w:sz w:val="18"/>
          <w:szCs w:val="18"/>
        </w:rPr>
        <w:br/>
        <w:t>2.4.4. Диагностика токоприёмников    84</w:t>
      </w:r>
      <w:r>
        <w:rPr>
          <w:rFonts w:ascii="Verdana" w:hAnsi="Verdana"/>
          <w:color w:val="000000"/>
          <w:sz w:val="18"/>
          <w:szCs w:val="18"/>
        </w:rPr>
        <w:br/>
        <w:t>2.4.5. Диагностика механического оборудования транспортного средства    110</w:t>
      </w:r>
      <w:r>
        <w:rPr>
          <w:rFonts w:ascii="Verdana" w:hAnsi="Verdana"/>
          <w:color w:val="000000"/>
          <w:sz w:val="18"/>
          <w:szCs w:val="18"/>
        </w:rPr>
        <w:br/>
        <w:t>Глава 3. Диагностика системы электроснабжения    131</w:t>
      </w:r>
      <w:r>
        <w:rPr>
          <w:rFonts w:ascii="Verdana" w:hAnsi="Verdana"/>
          <w:color w:val="000000"/>
          <w:sz w:val="18"/>
          <w:szCs w:val="18"/>
        </w:rPr>
        <w:br/>
        <w:t>3.1. Система электроснабжения как объект диагностирования    132</w:t>
      </w:r>
      <w:r>
        <w:rPr>
          <w:rFonts w:ascii="Verdana" w:hAnsi="Verdana"/>
          <w:color w:val="000000"/>
          <w:sz w:val="18"/>
          <w:szCs w:val="18"/>
        </w:rPr>
        <w:br/>
        <w:t>3.2. Диагностика контактной сети    146</w:t>
      </w:r>
      <w:r>
        <w:rPr>
          <w:rFonts w:ascii="Verdana" w:hAnsi="Verdana"/>
          <w:color w:val="000000"/>
          <w:sz w:val="18"/>
          <w:szCs w:val="18"/>
        </w:rPr>
        <w:br/>
        <w:t>3.3. Диагностика рельсовой сети    181</w:t>
      </w:r>
      <w:r>
        <w:rPr>
          <w:rFonts w:ascii="Verdana" w:hAnsi="Verdana"/>
          <w:color w:val="000000"/>
          <w:sz w:val="18"/>
          <w:szCs w:val="18"/>
        </w:rPr>
        <w:br/>
        <w:t>Глава 4. Надёжность электромеханических систем    205</w:t>
      </w:r>
      <w:r>
        <w:rPr>
          <w:rFonts w:ascii="Verdana" w:hAnsi="Verdana"/>
          <w:color w:val="000000"/>
          <w:sz w:val="18"/>
          <w:szCs w:val="18"/>
        </w:rPr>
        <w:br/>
        <w:t>4.1. Основные термины и определения понятий в теории надёжности    205</w:t>
      </w:r>
      <w:r>
        <w:rPr>
          <w:rFonts w:ascii="Verdana" w:hAnsi="Verdana"/>
          <w:color w:val="000000"/>
          <w:sz w:val="18"/>
          <w:szCs w:val="18"/>
        </w:rPr>
        <w:br/>
        <w:t>4.2. Показатели надёжности    210</w:t>
      </w:r>
      <w:r>
        <w:rPr>
          <w:rFonts w:ascii="Verdana" w:hAnsi="Verdana"/>
          <w:color w:val="000000"/>
          <w:sz w:val="18"/>
          <w:szCs w:val="18"/>
        </w:rPr>
        <w:br/>
        <w:t>Заключение    234</w:t>
      </w:r>
      <w:r>
        <w:rPr>
          <w:rFonts w:ascii="Verdana" w:hAnsi="Verdana"/>
          <w:color w:val="000000"/>
          <w:sz w:val="18"/>
          <w:szCs w:val="18"/>
        </w:rPr>
        <w:br/>
        <w:t>Библиографический список    235</w:t>
      </w:r>
      <w:bookmarkStart w:id="0" w:name="_GoBack"/>
      <w:bookmarkEnd w:id="0"/>
      <w:r w:rsidR="009C7DC2">
        <w:rPr>
          <w:rFonts w:ascii="Verdana" w:hAnsi="Verdana"/>
          <w:color w:val="000000"/>
          <w:sz w:val="18"/>
          <w:szCs w:val="18"/>
        </w:rPr>
        <w:t>   248</w:t>
      </w:r>
    </w:p>
    <w:sectPr w:rsidR="002D53DA" w:rsidRPr="009C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F9"/>
    <w:rsid w:val="002702F9"/>
    <w:rsid w:val="002D53DA"/>
    <w:rsid w:val="00570CC1"/>
    <w:rsid w:val="00947533"/>
    <w:rsid w:val="009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7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4</cp:revision>
  <dcterms:created xsi:type="dcterms:W3CDTF">2018-02-08T08:37:00Z</dcterms:created>
  <dcterms:modified xsi:type="dcterms:W3CDTF">2018-02-08T08:45:00Z</dcterms:modified>
</cp:coreProperties>
</file>