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DA" w:rsidRPr="000077D1" w:rsidRDefault="00937CCB" w:rsidP="000077D1">
      <w:r>
        <w:rPr>
          <w:rFonts w:ascii="Verdana" w:hAnsi="Verdana"/>
          <w:color w:val="000000"/>
          <w:sz w:val="18"/>
          <w:szCs w:val="18"/>
        </w:rPr>
        <w:t>ОГЛАВЛЕНИЕ</w:t>
      </w:r>
      <w:r>
        <w:rPr>
          <w:rFonts w:ascii="Verdana" w:hAnsi="Verdana"/>
          <w:color w:val="000000"/>
          <w:sz w:val="18"/>
          <w:szCs w:val="18"/>
        </w:rPr>
        <w:br/>
        <w:t>Введение    7</w:t>
      </w:r>
      <w:r>
        <w:rPr>
          <w:rFonts w:ascii="Verdana" w:hAnsi="Verdana"/>
          <w:color w:val="000000"/>
          <w:sz w:val="18"/>
          <w:szCs w:val="18"/>
        </w:rPr>
        <w:br/>
        <w:t>1. МЕТОДЫ ЭКСПЕРИМЕНТАЛЬНОГО МОДАЛЬНОГО АНАЛИЗА    9</w:t>
      </w:r>
      <w:r>
        <w:rPr>
          <w:rFonts w:ascii="Verdana" w:hAnsi="Verdana"/>
          <w:color w:val="000000"/>
          <w:sz w:val="18"/>
          <w:szCs w:val="18"/>
        </w:rPr>
        <w:br/>
        <w:t>1.1. История развития    9</w:t>
      </w:r>
      <w:r>
        <w:rPr>
          <w:rFonts w:ascii="Verdana" w:hAnsi="Verdana"/>
          <w:color w:val="000000"/>
          <w:sz w:val="18"/>
          <w:szCs w:val="18"/>
        </w:rPr>
        <w:br/>
        <w:t>1.2. Современные методы модального анализа    15</w:t>
      </w:r>
      <w:r>
        <w:rPr>
          <w:rFonts w:ascii="Verdana" w:hAnsi="Verdana"/>
          <w:color w:val="000000"/>
          <w:sz w:val="18"/>
          <w:szCs w:val="18"/>
        </w:rPr>
        <w:br/>
        <w:t>1.3. Средства модальных испытаний    18</w:t>
      </w:r>
      <w:r>
        <w:rPr>
          <w:rFonts w:ascii="Verdana" w:hAnsi="Verdana"/>
          <w:color w:val="000000"/>
          <w:sz w:val="18"/>
          <w:szCs w:val="18"/>
        </w:rPr>
        <w:br/>
        <w:t>2. ЭКСПЕРИМЕНТАЛЬНЫЙ МОДАЛЬНЫЙ АНАЛИЗ ЛЕТАТЕЛЬНЫХ АППАРАТОВ НА ОСНОВЕ МОНОФАЗНЫХ КОЛЕБАНИЙ    25</w:t>
      </w:r>
      <w:r>
        <w:rPr>
          <w:rFonts w:ascii="Verdana" w:hAnsi="Verdana"/>
          <w:color w:val="000000"/>
          <w:sz w:val="18"/>
          <w:szCs w:val="18"/>
        </w:rPr>
        <w:br/>
        <w:t>2.1. Методика экспериментального модального анализа    25</w:t>
      </w:r>
      <w:r>
        <w:rPr>
          <w:rFonts w:ascii="Verdana" w:hAnsi="Verdana"/>
          <w:color w:val="000000"/>
          <w:sz w:val="18"/>
          <w:szCs w:val="18"/>
        </w:rPr>
        <w:br/>
        <w:t>2.2. Идентификация диссипативных свойств конструкций по результатам модальных испытаний    43</w:t>
      </w:r>
      <w:r>
        <w:rPr>
          <w:rFonts w:ascii="Verdana" w:hAnsi="Verdana"/>
          <w:color w:val="000000"/>
          <w:sz w:val="18"/>
          <w:szCs w:val="18"/>
        </w:rPr>
        <w:br/>
        <w:t>2.3. Влияние случайных ошибок измерений на точность определения обобщенных характеристик собственных тонов колебаний    50</w:t>
      </w:r>
      <w:r>
        <w:rPr>
          <w:rFonts w:ascii="Verdana" w:hAnsi="Verdana"/>
          <w:color w:val="000000"/>
          <w:sz w:val="18"/>
          <w:szCs w:val="18"/>
        </w:rPr>
        <w:br/>
        <w:t>2.4. Сглаживание экспериментальных данных    64</w:t>
      </w:r>
      <w:r>
        <w:rPr>
          <w:rFonts w:ascii="Verdana" w:hAnsi="Verdana"/>
          <w:color w:val="000000"/>
          <w:sz w:val="18"/>
          <w:szCs w:val="18"/>
        </w:rPr>
        <w:br/>
        <w:t>2.5. Определение обобщенных масс по амплитудам перемещений    71</w:t>
      </w:r>
      <w:r>
        <w:rPr>
          <w:rFonts w:ascii="Verdana" w:hAnsi="Verdana"/>
          <w:color w:val="000000"/>
          <w:sz w:val="18"/>
          <w:szCs w:val="18"/>
        </w:rPr>
        <w:br/>
        <w:t>2.6. Взаимное влияние тонов с близкими собственными частотами    78</w:t>
      </w:r>
      <w:r>
        <w:rPr>
          <w:rFonts w:ascii="Verdana" w:hAnsi="Verdana"/>
          <w:color w:val="000000"/>
          <w:sz w:val="18"/>
          <w:szCs w:val="18"/>
        </w:rPr>
        <w:br/>
        <w:t>2.7. Влияние системы упругого вывешивания на динамические характеристики объекта испытаний    90</w:t>
      </w:r>
      <w:r>
        <w:rPr>
          <w:rFonts w:ascii="Verdana" w:hAnsi="Verdana"/>
          <w:color w:val="000000"/>
          <w:sz w:val="18"/>
          <w:szCs w:val="18"/>
        </w:rPr>
        <w:br/>
        <w:t>2.8. Применение расчета масс для контроля погрешностей в экспериментальных данных. Представление результатов испытаний    98</w:t>
      </w:r>
      <w:r>
        <w:rPr>
          <w:rFonts w:ascii="Verdana" w:hAnsi="Verdana"/>
          <w:color w:val="000000"/>
          <w:sz w:val="18"/>
          <w:szCs w:val="18"/>
        </w:rPr>
        <w:br/>
        <w:t>3. ЭКСПЕРИМЕНТАЛЬНЫЙ МОДАЛЬНЫЙ АНАЛИЗ КОСМИЧЕСКИХ КОНСТРУКЦИЙ    107</w:t>
      </w:r>
      <w:r>
        <w:rPr>
          <w:rFonts w:ascii="Verdana" w:hAnsi="Verdana"/>
          <w:color w:val="000000"/>
          <w:sz w:val="18"/>
          <w:szCs w:val="18"/>
        </w:rPr>
        <w:br/>
        <w:t>3.1. Особенности модальных испытаний космических аппаратов    109</w:t>
      </w:r>
      <w:r>
        <w:rPr>
          <w:rFonts w:ascii="Verdana" w:hAnsi="Verdana"/>
          <w:color w:val="000000"/>
          <w:sz w:val="18"/>
          <w:szCs w:val="18"/>
        </w:rPr>
        <w:br/>
        <w:t xml:space="preserve">3.1.1. Испытания </w:t>
      </w:r>
      <w:proofErr w:type="spellStart"/>
      <w:r>
        <w:rPr>
          <w:rFonts w:ascii="Verdana" w:hAnsi="Verdana"/>
          <w:color w:val="000000"/>
          <w:sz w:val="18"/>
          <w:szCs w:val="18"/>
        </w:rPr>
        <w:t>среднеразмерных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конструкций    110</w:t>
      </w:r>
      <w:r>
        <w:rPr>
          <w:rFonts w:ascii="Verdana" w:hAnsi="Verdana"/>
          <w:color w:val="000000"/>
          <w:sz w:val="18"/>
          <w:szCs w:val="18"/>
        </w:rPr>
        <w:br/>
        <w:t>3.1.2. Испытания крупногабаритных конструкций    112</w:t>
      </w:r>
      <w:r>
        <w:rPr>
          <w:rFonts w:ascii="Verdana" w:hAnsi="Verdana"/>
          <w:color w:val="000000"/>
          <w:sz w:val="18"/>
          <w:szCs w:val="18"/>
        </w:rPr>
        <w:br/>
        <w:t>3.1.3. Испытания протяженных конструкций    114</w:t>
      </w:r>
      <w:r>
        <w:rPr>
          <w:rFonts w:ascii="Verdana" w:hAnsi="Verdana"/>
          <w:color w:val="000000"/>
          <w:sz w:val="18"/>
          <w:szCs w:val="18"/>
        </w:rPr>
        <w:br/>
        <w:t>3.2. Системы компенсации веса объекта испытаний    117</w:t>
      </w:r>
      <w:r>
        <w:rPr>
          <w:rFonts w:ascii="Verdana" w:hAnsi="Verdana"/>
          <w:color w:val="000000"/>
          <w:sz w:val="18"/>
          <w:szCs w:val="18"/>
        </w:rPr>
        <w:br/>
        <w:t>3.2.1. Общие требования    117</w:t>
      </w:r>
      <w:r>
        <w:rPr>
          <w:rFonts w:ascii="Verdana" w:hAnsi="Verdana"/>
          <w:color w:val="000000"/>
          <w:sz w:val="18"/>
          <w:szCs w:val="18"/>
        </w:rPr>
        <w:br/>
        <w:t>3.2.2. Пассивные системы компенсации веса    118</w:t>
      </w:r>
      <w:r>
        <w:rPr>
          <w:rFonts w:ascii="Verdana" w:hAnsi="Verdana"/>
          <w:color w:val="000000"/>
          <w:sz w:val="18"/>
          <w:szCs w:val="18"/>
        </w:rPr>
        <w:br/>
        <w:t>3.2.3. Активные системы компенсации веса    121</w:t>
      </w:r>
      <w:r>
        <w:rPr>
          <w:rFonts w:ascii="Verdana" w:hAnsi="Verdana"/>
          <w:color w:val="000000"/>
          <w:sz w:val="18"/>
          <w:szCs w:val="18"/>
        </w:rPr>
        <w:br/>
        <w:t>Требования к идеальной системе компенсации веса    121</w:t>
      </w:r>
      <w:r>
        <w:rPr>
          <w:rFonts w:ascii="Verdana" w:hAnsi="Verdana"/>
          <w:color w:val="000000"/>
          <w:sz w:val="18"/>
          <w:szCs w:val="18"/>
        </w:rPr>
        <w:br/>
        <w:t>Компенсация веса с использованием электромеханических следящих систем    122</w:t>
      </w:r>
      <w:r>
        <w:rPr>
          <w:rFonts w:ascii="Verdana" w:hAnsi="Verdana"/>
          <w:color w:val="000000"/>
          <w:sz w:val="18"/>
          <w:szCs w:val="18"/>
        </w:rPr>
        <w:br/>
        <w:t>Оценка точности воспроизведения сил    124</w:t>
      </w:r>
      <w:r>
        <w:rPr>
          <w:rFonts w:ascii="Verdana" w:hAnsi="Verdana"/>
          <w:color w:val="000000"/>
          <w:sz w:val="18"/>
          <w:szCs w:val="18"/>
        </w:rPr>
        <w:br/>
        <w:t>Уравнение движения подвижной части    127</w:t>
      </w:r>
      <w:r>
        <w:rPr>
          <w:rFonts w:ascii="Verdana" w:hAnsi="Verdana"/>
          <w:color w:val="000000"/>
          <w:sz w:val="18"/>
          <w:szCs w:val="18"/>
        </w:rPr>
        <w:br/>
        <w:t>Калибровка ЭМД    128</w:t>
      </w:r>
      <w:r>
        <w:rPr>
          <w:rFonts w:ascii="Verdana" w:hAnsi="Verdana"/>
          <w:color w:val="000000"/>
          <w:sz w:val="18"/>
          <w:szCs w:val="18"/>
        </w:rPr>
        <w:br/>
        <w:t>Задачи, решаемые многофункциональной активной системой компенсации веса    129</w:t>
      </w:r>
      <w:r>
        <w:rPr>
          <w:rFonts w:ascii="Verdana" w:hAnsi="Verdana"/>
          <w:color w:val="000000"/>
          <w:sz w:val="18"/>
          <w:szCs w:val="18"/>
        </w:rPr>
        <w:br/>
        <w:t>Порядок работы системы    130</w:t>
      </w:r>
      <w:r>
        <w:rPr>
          <w:rFonts w:ascii="Verdana" w:hAnsi="Verdana"/>
          <w:color w:val="000000"/>
          <w:sz w:val="18"/>
          <w:szCs w:val="18"/>
        </w:rPr>
        <w:br/>
        <w:t>3.3. Учет влияния воздушной среды на динамические характеристики крупногабаритных трансформируемых конструкций    133</w:t>
      </w:r>
      <w:r>
        <w:rPr>
          <w:rFonts w:ascii="Verdana" w:hAnsi="Verdana"/>
          <w:color w:val="000000"/>
          <w:sz w:val="18"/>
          <w:szCs w:val="18"/>
        </w:rPr>
        <w:br/>
        <w:t>3.3.1. Экспериментальная установка    133</w:t>
      </w:r>
      <w:r>
        <w:rPr>
          <w:rFonts w:ascii="Verdana" w:hAnsi="Verdana"/>
          <w:color w:val="000000"/>
          <w:sz w:val="18"/>
          <w:szCs w:val="18"/>
        </w:rPr>
        <w:br/>
        <w:t>3.3.2. Методика и результаты испытаний    137</w:t>
      </w:r>
      <w:r>
        <w:rPr>
          <w:rFonts w:ascii="Verdana" w:hAnsi="Verdana"/>
          <w:color w:val="000000"/>
          <w:sz w:val="18"/>
          <w:szCs w:val="18"/>
        </w:rPr>
        <w:br/>
        <w:t>3.3.3. Исследования влияния воздуха на масштабных моделях    138</w:t>
      </w:r>
      <w:r>
        <w:rPr>
          <w:rFonts w:ascii="Verdana" w:hAnsi="Verdana"/>
          <w:color w:val="000000"/>
          <w:sz w:val="18"/>
          <w:szCs w:val="18"/>
        </w:rPr>
        <w:br/>
        <w:t>Теоретические исследования возможности моделирования затухающих колебаний пластинки в вязкой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жидкости    139</w:t>
      </w:r>
      <w:r>
        <w:rPr>
          <w:rFonts w:ascii="Verdana" w:hAnsi="Verdana"/>
          <w:color w:val="000000"/>
          <w:sz w:val="18"/>
          <w:szCs w:val="18"/>
        </w:rPr>
        <w:br/>
        <w:t>Исследования демпфирования колебаний конструкций на масштабных моделях    147</w:t>
      </w:r>
      <w:r>
        <w:rPr>
          <w:rFonts w:ascii="Verdana" w:hAnsi="Verdana"/>
          <w:color w:val="000000"/>
          <w:sz w:val="18"/>
          <w:szCs w:val="18"/>
        </w:rPr>
        <w:br/>
        <w:t>Заключение    152</w:t>
      </w:r>
      <w:r>
        <w:rPr>
          <w:rFonts w:ascii="Verdana" w:hAnsi="Verdana"/>
          <w:color w:val="000000"/>
          <w:sz w:val="18"/>
          <w:szCs w:val="18"/>
        </w:rPr>
        <w:br/>
        <w:t>Библиографический список    153</w:t>
      </w:r>
      <w:bookmarkStart w:id="0" w:name="_GoBack"/>
      <w:bookmarkEnd w:id="0"/>
    </w:p>
    <w:sectPr w:rsidR="002D53DA" w:rsidRPr="000077D1" w:rsidSect="002E02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E"/>
    <w:rsid w:val="0000467E"/>
    <w:rsid w:val="000077D1"/>
    <w:rsid w:val="00052040"/>
    <w:rsid w:val="00052759"/>
    <w:rsid w:val="000F391E"/>
    <w:rsid w:val="002534F2"/>
    <w:rsid w:val="002D53DA"/>
    <w:rsid w:val="002E0289"/>
    <w:rsid w:val="003A112E"/>
    <w:rsid w:val="004529EB"/>
    <w:rsid w:val="004A0077"/>
    <w:rsid w:val="005F674B"/>
    <w:rsid w:val="0068728B"/>
    <w:rsid w:val="0073786D"/>
    <w:rsid w:val="007412AC"/>
    <w:rsid w:val="007F016F"/>
    <w:rsid w:val="008C52F3"/>
    <w:rsid w:val="008F7305"/>
    <w:rsid w:val="00937043"/>
    <w:rsid w:val="00937CCB"/>
    <w:rsid w:val="00991352"/>
    <w:rsid w:val="009F0C60"/>
    <w:rsid w:val="00BB4AD6"/>
    <w:rsid w:val="00BE16D9"/>
    <w:rsid w:val="00C508BF"/>
    <w:rsid w:val="00C95AA2"/>
    <w:rsid w:val="00CE6F02"/>
    <w:rsid w:val="00D43A86"/>
    <w:rsid w:val="00D718EB"/>
    <w:rsid w:val="00E60A3B"/>
    <w:rsid w:val="00E96B43"/>
    <w:rsid w:val="00F058F2"/>
    <w:rsid w:val="00F15760"/>
    <w:rsid w:val="00F214FE"/>
    <w:rsid w:val="00F65513"/>
    <w:rsid w:val="00FA4508"/>
    <w:rsid w:val="00FD22E3"/>
    <w:rsid w:val="00FE6651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7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7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Орешкина</dc:creator>
  <cp:lastModifiedBy>Наталья А. Орешкина</cp:lastModifiedBy>
  <cp:revision>38</cp:revision>
  <dcterms:created xsi:type="dcterms:W3CDTF">2018-02-08T08:50:00Z</dcterms:created>
  <dcterms:modified xsi:type="dcterms:W3CDTF">2018-02-13T02:03:00Z</dcterms:modified>
</cp:coreProperties>
</file>